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
        <w:tabs>
          <w:tab w:val="right" w:pos="7088"/>
          <w:tab w:val="right" w:pos="9781"/>
          <w:tab w:val="clear" w:pos="8306"/>
        </w:tabs>
        <w:spacing w:after="0"/>
        <w:rPr>
          <w:rFonts w:hint="default" w:ascii="Arial" w:hAnsi="Arial" w:cs="Arial"/>
          <w:b/>
          <w:bCs/>
          <w:sz w:val="22"/>
          <w:lang w:val="en-US" w:eastAsia="zh-CN"/>
        </w:rPr>
      </w:pPr>
      <w:r>
        <w:rPr>
          <w:rFonts w:ascii="Arial" w:hAnsi="Arial" w:cs="Arial"/>
          <w:b/>
          <w:bCs/>
          <w:sz w:val="22"/>
        </w:rPr>
        <w:t>3GPP TSG RAN WG1 #</w:t>
      </w:r>
      <w:r>
        <w:rPr>
          <w:rFonts w:hint="eastAsia" w:ascii="Arial" w:hAnsi="Arial" w:cs="Arial"/>
          <w:b/>
          <w:bCs/>
          <w:sz w:val="22"/>
          <w:lang w:val="en-US" w:eastAsia="zh-CN"/>
        </w:rPr>
        <w:t xml:space="preserve">122bis                                             </w:t>
      </w:r>
      <w:r>
        <w:rPr>
          <w:rFonts w:ascii="Arial" w:hAnsi="Arial" w:cs="Arial"/>
          <w:b/>
          <w:bCs/>
          <w:sz w:val="22"/>
          <w:lang w:val="en-US" w:eastAsia="zh-CN"/>
        </w:rPr>
        <w:t xml:space="preserve">                                     </w:t>
      </w:r>
      <w:r>
        <w:rPr>
          <w:rFonts w:hint="eastAsia" w:ascii="Arial" w:hAnsi="Arial" w:cs="Arial"/>
          <w:b/>
          <w:bCs/>
          <w:sz w:val="22"/>
          <w:lang w:val="en-US" w:eastAsia="zh-CN"/>
        </w:rPr>
        <w:t xml:space="preserve">    </w:t>
      </w:r>
      <w:r>
        <w:rPr>
          <w:rFonts w:ascii="Arial" w:hAnsi="Arial" w:cs="Arial"/>
          <w:b/>
          <w:bCs/>
          <w:sz w:val="22"/>
          <w:lang w:val="en-US" w:eastAsia="zh-CN"/>
        </w:rPr>
        <w:t xml:space="preserve"> R1-25</w:t>
      </w:r>
      <w:r>
        <w:rPr>
          <w:rFonts w:hint="eastAsia" w:ascii="Arial" w:hAnsi="Arial" w:cs="Arial"/>
          <w:b/>
          <w:bCs/>
          <w:sz w:val="22"/>
          <w:lang w:val="en-US" w:eastAsia="zh-CN"/>
        </w:rPr>
        <w:t>07199</w:t>
      </w:r>
    </w:p>
    <w:p>
      <w:pPr>
        <w:rPr>
          <w:rFonts w:hint="default" w:ascii="Arial" w:hAnsi="Arial" w:cs="Arial"/>
          <w:sz w:val="22"/>
          <w:szCs w:val="22"/>
        </w:rPr>
      </w:pPr>
      <w:r>
        <w:rPr>
          <w:rFonts w:hint="eastAsia" w:ascii="Arial" w:hAnsi="Arial" w:cs="Arial"/>
          <w:b/>
          <w:bCs/>
          <w:sz w:val="22"/>
          <w:szCs w:val="22"/>
          <w:lang w:val="de-DE"/>
        </w:rPr>
        <w:t>Prague</w:t>
      </w:r>
      <w:r>
        <w:rPr>
          <w:rFonts w:ascii="Arial" w:hAnsi="Arial" w:cs="Arial"/>
          <w:b/>
          <w:bCs/>
          <w:sz w:val="22"/>
          <w:szCs w:val="22"/>
          <w:lang w:val="de-DE"/>
        </w:rPr>
        <w:t xml:space="preserve">, </w:t>
      </w:r>
      <w:r>
        <w:rPr>
          <w:rFonts w:hint="eastAsia" w:ascii="Arial" w:hAnsi="Arial" w:cs="Arial"/>
          <w:b/>
          <w:bCs/>
          <w:sz w:val="22"/>
          <w:szCs w:val="22"/>
          <w:lang w:val="de-DE"/>
        </w:rPr>
        <w:t>Czech</w:t>
      </w:r>
      <w:r>
        <w:rPr>
          <w:rFonts w:ascii="Arial" w:hAnsi="Arial" w:cs="Arial"/>
          <w:b/>
          <w:bCs/>
          <w:sz w:val="22"/>
          <w:szCs w:val="22"/>
          <w:lang w:val="de-DE"/>
        </w:rPr>
        <w:t xml:space="preserve">, </w:t>
      </w:r>
      <w:r>
        <w:rPr>
          <w:rFonts w:hint="eastAsia" w:ascii="Arial" w:hAnsi="Arial" w:cs="Arial"/>
          <w:b/>
          <w:bCs/>
          <w:sz w:val="22"/>
          <w:szCs w:val="22"/>
          <w:lang w:val="de-DE"/>
        </w:rPr>
        <w:t>Oct 13</w:t>
      </w:r>
      <w:r>
        <w:rPr>
          <w:rFonts w:hint="eastAsia" w:ascii="Arial" w:hAnsi="Arial" w:cs="Arial"/>
          <w:b/>
          <w:bCs/>
          <w:sz w:val="22"/>
          <w:szCs w:val="22"/>
          <w:vertAlign w:val="superscript"/>
          <w:lang w:val="de-DE"/>
        </w:rPr>
        <w:t>th</w:t>
      </w:r>
      <w:r>
        <w:rPr>
          <w:rFonts w:ascii="Arial" w:hAnsi="Arial" w:cs="Arial"/>
          <w:b/>
          <w:bCs/>
          <w:sz w:val="22"/>
          <w:szCs w:val="22"/>
          <w:lang w:val="de-DE"/>
        </w:rPr>
        <w:t xml:space="preserve"> – </w:t>
      </w:r>
      <w:r>
        <w:rPr>
          <w:rFonts w:hint="eastAsia" w:ascii="Arial" w:hAnsi="Arial" w:cs="Arial"/>
          <w:b/>
          <w:bCs/>
          <w:sz w:val="22"/>
          <w:szCs w:val="22"/>
          <w:lang w:val="de-DE"/>
        </w:rPr>
        <w:t>17</w:t>
      </w:r>
      <w:r>
        <w:rPr>
          <w:rFonts w:ascii="Arial" w:hAnsi="Arial" w:cs="Arial"/>
          <w:b/>
          <w:bCs/>
          <w:sz w:val="22"/>
          <w:szCs w:val="22"/>
          <w:vertAlign w:val="superscript"/>
          <w:lang w:val="de-DE"/>
        </w:rPr>
        <w:t>th</w:t>
      </w:r>
      <w:r>
        <w:rPr>
          <w:rFonts w:ascii="Arial" w:hAnsi="Arial" w:cs="Arial"/>
          <w:b/>
          <w:bCs/>
          <w:sz w:val="22"/>
          <w:szCs w:val="22"/>
          <w:lang w:val="de-DE"/>
        </w:rPr>
        <w:t>, 2025</w:t>
      </w:r>
    </w:p>
    <w:p>
      <w:pPr>
        <w:spacing w:after="60"/>
        <w:ind w:left="1985" w:hanging="1985"/>
        <w:rPr>
          <w:rFonts w:ascii="Arial" w:hAnsi="Arial" w:cs="Arial"/>
          <w:bCs/>
        </w:rPr>
      </w:pPr>
      <w:r>
        <w:rPr>
          <w:rFonts w:ascii="Arial" w:hAnsi="Arial" w:cs="Arial"/>
          <w:b/>
        </w:rPr>
        <w:t>Source:</w:t>
      </w:r>
      <w:r>
        <w:rPr>
          <w:rFonts w:ascii="Arial" w:hAnsi="Arial" w:cs="Arial"/>
          <w:b/>
        </w:rPr>
        <w:tab/>
      </w:r>
      <w:r>
        <w:rPr>
          <w:rFonts w:ascii="Arial" w:hAnsi="Arial" w:cs="Arial"/>
          <w:b/>
        </w:rPr>
        <w:t>ZTE Corporation, Sanechips</w:t>
      </w:r>
    </w:p>
    <w:p>
      <w:pPr>
        <w:spacing w:after="60"/>
        <w:ind w:left="1985" w:hanging="1985"/>
        <w:rPr>
          <w:rFonts w:ascii="Arial" w:hAnsi="Arial" w:cs="Arial"/>
          <w:b/>
        </w:rPr>
      </w:pPr>
      <w:r>
        <w:rPr>
          <w:rFonts w:ascii="Arial" w:hAnsi="Arial" w:cs="Arial"/>
          <w:b/>
        </w:rPr>
        <w:t>Title:</w:t>
      </w:r>
      <w:r>
        <w:rPr>
          <w:rFonts w:ascii="Arial" w:hAnsi="Arial" w:cs="Arial"/>
          <w:b/>
        </w:rPr>
        <w:tab/>
      </w:r>
      <w:r>
        <w:rPr>
          <w:rFonts w:ascii="Arial" w:hAnsi="Arial" w:cs="Arial"/>
          <w:b/>
        </w:rPr>
        <w:t xml:space="preserve">Discussion on UE features for </w:t>
      </w:r>
      <w:r>
        <w:rPr>
          <w:rFonts w:ascii="Arial" w:hAnsi="Arial" w:cs="Arial"/>
          <w:b/>
          <w:lang w:eastAsia="ko-KR"/>
        </w:rPr>
        <w:t xml:space="preserve">for </w:t>
      </w:r>
      <w:bookmarkStart w:id="0" w:name="_Hlk193102202"/>
      <w:r>
        <w:rPr>
          <w:rFonts w:ascii="Arial" w:hAnsi="Arial" w:cs="Arial"/>
          <w:b/>
          <w:lang w:eastAsia="ko-KR"/>
        </w:rPr>
        <w:t>low band CA via switching</w:t>
      </w:r>
      <w:bookmarkEnd w:id="0"/>
    </w:p>
    <w:p>
      <w:pPr>
        <w:spacing w:after="60"/>
        <w:ind w:left="1985" w:hanging="1985"/>
        <w:rPr>
          <w:rFonts w:hint="eastAsia" w:ascii="Arial" w:hAnsi="Arial" w:eastAsia="宋体" w:cs="Arial"/>
          <w:bCs/>
          <w:lang w:eastAsia="zh-CN"/>
        </w:rPr>
      </w:pPr>
      <w:r>
        <w:rPr>
          <w:rFonts w:ascii="Arial" w:hAnsi="Arial" w:cs="Arial"/>
          <w:b/>
        </w:rPr>
        <w:t>Agenda item:</w:t>
      </w:r>
      <w:r>
        <w:rPr>
          <w:rFonts w:ascii="Arial" w:hAnsi="Arial" w:cs="Arial"/>
          <w:b/>
        </w:rPr>
        <w:tab/>
      </w:r>
      <w:r>
        <w:rPr>
          <w:rFonts w:ascii="Arial" w:hAnsi="Arial" w:cs="Arial"/>
          <w:b/>
        </w:rPr>
        <w:t>9.1</w:t>
      </w:r>
      <w:r>
        <w:rPr>
          <w:rFonts w:hint="eastAsia" w:ascii="Arial" w:hAnsi="Arial" w:cs="Arial"/>
          <w:b/>
          <w:lang w:val="en-US" w:eastAsia="zh-CN"/>
        </w:rPr>
        <w:t>2</w:t>
      </w:r>
    </w:p>
    <w:p>
      <w:pPr>
        <w:spacing w:after="60"/>
        <w:ind w:left="1985" w:hanging="1985"/>
        <w:rPr>
          <w:rFonts w:ascii="Arial" w:hAnsi="Arial" w:cs="Arial"/>
          <w:bCs/>
        </w:rPr>
      </w:pPr>
      <w:r>
        <w:rPr>
          <w:rFonts w:ascii="Arial" w:hAnsi="Arial" w:cs="Arial"/>
          <w:b/>
        </w:rPr>
        <w:t>Document for:</w:t>
      </w:r>
      <w:r>
        <w:rPr>
          <w:rFonts w:ascii="Arial" w:hAnsi="Arial" w:cs="Arial"/>
          <w:bCs/>
        </w:rPr>
        <w:tab/>
      </w:r>
      <w:r>
        <w:rPr>
          <w:rFonts w:ascii="Arial" w:hAnsi="Arial" w:cs="Arial"/>
          <w:b/>
          <w:bCs/>
        </w:rPr>
        <w:t>Discussion and Decision</w:t>
      </w:r>
    </w:p>
    <w:p>
      <w:pPr>
        <w:pStyle w:val="2"/>
        <w:pBdr>
          <w:top w:val="single" w:color="auto" w:sz="12" w:space="0"/>
        </w:pBdr>
      </w:pPr>
      <w:r>
        <w:t>Introduction</w:t>
      </w:r>
    </w:p>
    <w:p>
      <w:r>
        <w:t xml:space="preserve">For Rel-19 </w:t>
      </w:r>
      <w:r>
        <w:rPr>
          <w:rFonts w:hint="eastAsia"/>
          <w:lang w:val="en-US" w:eastAsia="zh-CN"/>
        </w:rPr>
        <w:t>LBCA via switching</w:t>
      </w:r>
      <w:r>
        <w:t xml:space="preserve"> UE feature</w:t>
      </w:r>
      <w:r>
        <w:rPr>
          <w:rFonts w:hint="eastAsia"/>
          <w:lang w:val="en-US" w:eastAsia="zh-CN"/>
        </w:rPr>
        <w:t>s</w:t>
      </w:r>
      <w:r>
        <w:t xml:space="preserve">, </w:t>
      </w:r>
      <w:r>
        <w:rPr>
          <w:rFonts w:hint="eastAsia"/>
          <w:lang w:val="en-US" w:eastAsia="zh-CN"/>
        </w:rPr>
        <w:t>there was no</w:t>
      </w:r>
      <w:r>
        <w:t xml:space="preserve"> agreement made in the</w:t>
      </w:r>
      <w:r>
        <w:rPr>
          <w:rFonts w:hint="eastAsia"/>
          <w:lang w:val="en-US" w:eastAsia="zh-CN"/>
        </w:rPr>
        <w:t xml:space="preserve"> RAN1#122 </w:t>
      </w:r>
      <w:r>
        <w:t xml:space="preserve">meeting. </w:t>
      </w:r>
      <w:r>
        <w:rPr>
          <w:rFonts w:hint="eastAsia"/>
          <w:lang w:val="en-US" w:eastAsia="zh-CN"/>
        </w:rPr>
        <w:t xml:space="preserve">Most companies were fine with </w:t>
      </w:r>
      <w:r>
        <w:rPr>
          <w:rFonts w:hint="eastAsia"/>
          <w:b w:val="0"/>
          <w:bCs w:val="0"/>
          <w:lang w:val="en-US" w:eastAsia="zh-CN"/>
        </w:rPr>
        <w:t xml:space="preserve">the </w:t>
      </w:r>
      <w:r>
        <w:rPr>
          <w:rFonts w:eastAsia="ＭＳ 明朝"/>
          <w:b w:val="0"/>
          <w:bCs w:val="0"/>
          <w:lang w:val="en-US"/>
        </w:rPr>
        <w:t>A</w:t>
      </w:r>
      <w:r>
        <w:rPr>
          <w:rFonts w:hint="eastAsia" w:eastAsia="ＭＳ 明朝"/>
          <w:b w:val="0"/>
          <w:bCs w:val="0"/>
          <w:lang w:val="en-US"/>
        </w:rPr>
        <w:t>lt-1: Not necessary (i.e., the whole UE capability work up to RAN4 and RAN2)</w:t>
      </w:r>
      <w:r>
        <w:rPr>
          <w:rFonts w:hint="eastAsia"/>
          <w:b w:val="0"/>
          <w:bCs w:val="0"/>
          <w:lang w:val="en-US" w:eastAsia="zh-CN"/>
        </w:rPr>
        <w:t xml:space="preserve"> copie</w:t>
      </w:r>
      <w:r>
        <w:rPr>
          <w:rFonts w:hint="eastAsia"/>
          <w:lang w:val="en-US" w:eastAsia="zh-CN"/>
        </w:rPr>
        <w:t xml:space="preserve">d below [1]. </w:t>
      </w:r>
      <w:r>
        <w:t>In this contribution, our views on the UE feature</w:t>
      </w:r>
      <w:r>
        <w:rPr>
          <w:rFonts w:hint="eastAsia"/>
          <w:lang w:val="en-US" w:eastAsia="zh-CN"/>
        </w:rPr>
        <w:t>s</w:t>
      </w:r>
      <w:r>
        <w:t xml:space="preserve"> for Rel-19 </w:t>
      </w:r>
      <w:r>
        <w:rPr>
          <w:rFonts w:hint="eastAsia"/>
          <w:lang w:val="en-US" w:eastAsia="zh-CN"/>
        </w:rPr>
        <w:t>LBCA via switching</w:t>
      </w:r>
      <w:r>
        <w:t xml:space="preserve"> are provided.</w:t>
      </w:r>
    </w:p>
    <w:p>
      <w:pPr>
        <w:rPr>
          <w:rFonts w:eastAsia="ＭＳ 明朝"/>
          <w:b/>
          <w:bCs/>
          <w:lang w:val="en-US"/>
        </w:rPr>
      </w:pPr>
      <w:r>
        <w:rPr>
          <w:rFonts w:eastAsia="ＭＳ 明朝"/>
          <w:b/>
          <w:bCs/>
          <w:lang w:val="en-US"/>
        </w:rPr>
        <w:t>C</w:t>
      </w:r>
      <w:r>
        <w:rPr>
          <w:rFonts w:hint="eastAsia" w:eastAsia="ＭＳ 明朝"/>
          <w:b/>
          <w:bCs/>
          <w:lang w:val="en-US"/>
        </w:rPr>
        <w:t xml:space="preserve">ompanies are encouraged to share views on the need for defining FG for Rel-19 low-band CA on RAN1 UE feature list: </w:t>
      </w:r>
    </w:p>
    <w:p>
      <w:pPr>
        <w:pStyle w:val="31"/>
        <w:numPr>
          <w:ilvl w:val="0"/>
          <w:numId w:val="7"/>
        </w:numPr>
        <w:ind w:leftChars="0"/>
        <w:rPr>
          <w:rFonts w:eastAsia="ＭＳ 明朝"/>
          <w:b/>
          <w:bCs/>
          <w:lang w:val="en-US"/>
        </w:rPr>
      </w:pPr>
      <w:r>
        <w:rPr>
          <w:rFonts w:hint="eastAsia" w:eastAsia="ＭＳ 明朝"/>
          <w:b/>
          <w:bCs/>
          <w:lang w:val="en-US"/>
        </w:rPr>
        <w:t>Q1-1: Whether to define RAN1 FG for Rel-19 low-band CA</w:t>
      </w:r>
    </w:p>
    <w:p>
      <w:pPr>
        <w:pStyle w:val="31"/>
        <w:numPr>
          <w:ilvl w:val="1"/>
          <w:numId w:val="7"/>
        </w:numPr>
        <w:ind w:leftChars="0"/>
        <w:rPr>
          <w:rFonts w:eastAsia="ＭＳ 明朝"/>
          <w:b/>
          <w:bCs/>
          <w:lang w:val="en-US"/>
        </w:rPr>
      </w:pPr>
      <w:r>
        <w:rPr>
          <w:rFonts w:eastAsia="ＭＳ 明朝"/>
          <w:b/>
          <w:bCs/>
          <w:lang w:val="en-US"/>
        </w:rPr>
        <w:t>A</w:t>
      </w:r>
      <w:r>
        <w:rPr>
          <w:rFonts w:hint="eastAsia" w:eastAsia="ＭＳ 明朝"/>
          <w:b/>
          <w:bCs/>
          <w:lang w:val="en-US"/>
        </w:rPr>
        <w:t>lt-1: Not necessary (i.e., the whole UE capability work up to RAN4 and RAN2)</w:t>
      </w:r>
    </w:p>
    <w:p>
      <w:pPr>
        <w:pStyle w:val="31"/>
        <w:numPr>
          <w:ilvl w:val="1"/>
          <w:numId w:val="7"/>
        </w:numPr>
        <w:ind w:leftChars="0"/>
        <w:rPr>
          <w:rFonts w:eastAsia="ＭＳ 明朝"/>
          <w:b/>
          <w:bCs/>
          <w:lang w:val="en-US"/>
        </w:rPr>
      </w:pPr>
      <w:r>
        <w:rPr>
          <w:rFonts w:hint="eastAsia" w:eastAsia="ＭＳ 明朝"/>
          <w:b/>
          <w:bCs/>
          <w:lang w:val="en-US"/>
        </w:rPr>
        <w:t>Alt-2: Necessary</w:t>
      </w:r>
    </w:p>
    <w:p>
      <w:pPr>
        <w:pStyle w:val="31"/>
        <w:numPr>
          <w:ilvl w:val="0"/>
          <w:numId w:val="7"/>
        </w:numPr>
        <w:ind w:leftChars="0"/>
        <w:rPr>
          <w:rFonts w:eastAsia="ＭＳ 明朝"/>
          <w:b/>
          <w:bCs/>
          <w:lang w:val="en-US"/>
        </w:rPr>
      </w:pPr>
      <w:r>
        <w:rPr>
          <w:rFonts w:hint="eastAsia" w:eastAsia="ＭＳ 明朝"/>
          <w:b/>
          <w:bCs/>
          <w:lang w:val="en-US"/>
        </w:rPr>
        <w:t>Q1-2: (for those who support Alt-2 in Q1-1) What component(s) should be defined in RAN1 FG</w:t>
      </w:r>
    </w:p>
    <w:p>
      <w:pPr>
        <w:pStyle w:val="31"/>
        <w:numPr>
          <w:ilvl w:val="1"/>
          <w:numId w:val="7"/>
        </w:numPr>
        <w:ind w:leftChars="0"/>
        <w:rPr>
          <w:rFonts w:eastAsia="ＭＳ 明朝"/>
          <w:b/>
          <w:bCs/>
          <w:lang w:val="en-US"/>
        </w:rPr>
      </w:pPr>
      <w:r>
        <w:rPr>
          <w:rFonts w:eastAsia="ＭＳ 明朝"/>
          <w:b/>
          <w:bCs/>
          <w:lang w:val="en-US"/>
        </w:rPr>
        <w:t>O</w:t>
      </w:r>
      <w:r>
        <w:rPr>
          <w:rFonts w:hint="eastAsia" w:eastAsia="ＭＳ 明朝"/>
          <w:b/>
          <w:bCs/>
          <w:lang w:val="en-US"/>
        </w:rPr>
        <w:t>ption 1: Semi-static bitmap configured pattern</w:t>
      </w:r>
    </w:p>
    <w:p>
      <w:pPr>
        <w:pStyle w:val="31"/>
        <w:numPr>
          <w:ilvl w:val="1"/>
          <w:numId w:val="7"/>
        </w:numPr>
        <w:ind w:leftChars="0"/>
        <w:rPr>
          <w:rFonts w:eastAsia="ＭＳ 明朝"/>
          <w:b/>
          <w:bCs/>
          <w:lang w:val="en-US"/>
        </w:rPr>
      </w:pPr>
      <w:r>
        <w:rPr>
          <w:rFonts w:eastAsia="ＭＳ 明朝"/>
          <w:b/>
          <w:bCs/>
          <w:lang w:val="en-US"/>
        </w:rPr>
        <w:t>O</w:t>
      </w:r>
      <w:r>
        <w:rPr>
          <w:rFonts w:hint="eastAsia" w:eastAsia="ＭＳ 明朝"/>
          <w:b/>
          <w:bCs/>
          <w:lang w:val="en-US"/>
        </w:rPr>
        <w:t>ption 2:</w:t>
      </w:r>
      <w:r>
        <w:t xml:space="preserve"> </w:t>
      </w:r>
      <w:r>
        <w:rPr>
          <w:rFonts w:eastAsia="ＭＳ 明朝"/>
          <w:b/>
          <w:bCs/>
          <w:lang w:val="en-US"/>
        </w:rPr>
        <w:t>Maximum number of switches per period</w:t>
      </w:r>
    </w:p>
    <w:p>
      <w:pPr>
        <w:pStyle w:val="31"/>
        <w:numPr>
          <w:ilvl w:val="1"/>
          <w:numId w:val="7"/>
        </w:numPr>
        <w:ind w:leftChars="0"/>
        <w:rPr>
          <w:rFonts w:eastAsia="ＭＳ 明朝"/>
          <w:b/>
          <w:bCs/>
          <w:lang w:val="en-US"/>
        </w:rPr>
      </w:pPr>
      <w:r>
        <w:rPr>
          <w:rFonts w:hint="eastAsia" w:eastAsia="ＭＳ 明朝"/>
          <w:b/>
          <w:bCs/>
          <w:lang w:val="en-US"/>
        </w:rPr>
        <w:t xml:space="preserve">Option 3: </w:t>
      </w:r>
      <w:r>
        <w:rPr>
          <w:rFonts w:eastAsia="ＭＳ 明朝"/>
          <w:b/>
          <w:bCs/>
          <w:lang w:val="en-US"/>
        </w:rPr>
        <w:t>Supported HARQ-ACK codebook type</w:t>
      </w:r>
    </w:p>
    <w:p>
      <w:pPr>
        <w:pStyle w:val="31"/>
        <w:numPr>
          <w:ilvl w:val="1"/>
          <w:numId w:val="7"/>
        </w:numPr>
        <w:ind w:leftChars="0"/>
        <w:rPr>
          <w:rFonts w:eastAsia="ＭＳ 明朝"/>
          <w:b/>
          <w:bCs/>
          <w:lang w:val="en-US"/>
        </w:rPr>
      </w:pPr>
      <w:r>
        <w:rPr>
          <w:rFonts w:hint="eastAsia" w:eastAsia="ＭＳ 明朝"/>
          <w:b/>
          <w:bCs/>
          <w:lang w:val="en-US"/>
        </w:rPr>
        <w:t xml:space="preserve">Option 4: </w:t>
      </w:r>
      <w:r>
        <w:rPr>
          <w:rFonts w:eastAsia="ＭＳ 明朝"/>
          <w:b/>
          <w:bCs/>
          <w:lang w:val="en-US"/>
        </w:rPr>
        <w:t>Additional processing time for PDCCH-to-PUSCH, PDCCH-to-SRS, RAR-to-PUSCH, PDCCH/PDSCH-to-HARQ-ACK</w:t>
      </w:r>
    </w:p>
    <w:p>
      <w:pPr>
        <w:pStyle w:val="31"/>
        <w:numPr>
          <w:ilvl w:val="1"/>
          <w:numId w:val="7"/>
        </w:numPr>
        <w:ind w:leftChars="0"/>
        <w:rPr>
          <w:rFonts w:eastAsia="ＭＳ 明朝"/>
          <w:b/>
          <w:bCs/>
          <w:lang w:val="en-US"/>
        </w:rPr>
      </w:pPr>
      <w:r>
        <w:rPr>
          <w:rFonts w:eastAsia="ＭＳ 明朝"/>
          <w:b/>
          <w:bCs/>
          <w:lang w:val="en-US"/>
        </w:rPr>
        <w:t>O</w:t>
      </w:r>
      <w:r>
        <w:rPr>
          <w:rFonts w:hint="eastAsia" w:eastAsia="ＭＳ 明朝"/>
          <w:b/>
          <w:bCs/>
          <w:lang w:val="en-US"/>
        </w:rPr>
        <w:t>ption 5: Switching gap definition</w:t>
      </w:r>
    </w:p>
    <w:p>
      <w:pPr>
        <w:pStyle w:val="31"/>
        <w:numPr>
          <w:ilvl w:val="1"/>
          <w:numId w:val="7"/>
        </w:numPr>
        <w:ind w:leftChars="0"/>
        <w:rPr>
          <w:rFonts w:eastAsia="ＭＳ 明朝"/>
          <w:b/>
          <w:bCs/>
          <w:lang w:val="en-US"/>
        </w:rPr>
      </w:pPr>
      <w:r>
        <w:rPr>
          <w:rFonts w:eastAsia="ＭＳ 明朝"/>
          <w:b/>
          <w:bCs/>
          <w:lang w:val="en-US"/>
        </w:rPr>
        <w:t>O</w:t>
      </w:r>
      <w:r>
        <w:rPr>
          <w:rFonts w:hint="eastAsia" w:eastAsia="ＭＳ 明朝"/>
          <w:b/>
          <w:bCs/>
          <w:lang w:val="en-US"/>
        </w:rPr>
        <w:t xml:space="preserve">ption 6: Collision handling between </w:t>
      </w:r>
      <w:r>
        <w:rPr>
          <w:rFonts w:eastAsia="ＭＳ 明朝"/>
          <w:b/>
          <w:bCs/>
          <w:lang w:val="en-US"/>
        </w:rPr>
        <w:t>physical signalling and channel configured by higher layers and switching gap and switching pattern configuration</w:t>
      </w:r>
    </w:p>
    <w:p>
      <w:pPr>
        <w:rPr>
          <w:rFonts w:eastAsia="ＭＳ 明朝"/>
          <w:b/>
          <w:bCs/>
          <w:lang w:val="en-US"/>
        </w:rPr>
      </w:pP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0"/>
        <w:gridCol w:w="89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shd w:val="clear" w:color="auto" w:fill="E7E6E6" w:themeFill="background2"/>
          </w:tcPr>
          <w:p>
            <w:pPr>
              <w:textAlignment w:val="baseline"/>
              <w:rPr>
                <w:rFonts w:eastAsia="ＭＳ 明朝"/>
                <w:lang w:val="en-US"/>
              </w:rPr>
            </w:pPr>
            <w:r>
              <w:rPr>
                <w:rFonts w:hint="eastAsia" w:eastAsia="ＭＳ 明朝"/>
                <w:lang w:val="en-US"/>
              </w:rPr>
              <w:t>Companies</w:t>
            </w:r>
          </w:p>
        </w:tc>
        <w:tc>
          <w:tcPr>
            <w:tcW w:w="20687" w:type="dxa"/>
            <w:shd w:val="clear" w:color="auto" w:fill="E7E6E6" w:themeFill="background2"/>
          </w:tcPr>
          <w:p>
            <w:pPr>
              <w:textAlignment w:val="baseline"/>
              <w:rPr>
                <w:rFonts w:eastAsia="ＭＳ 明朝"/>
                <w:lang w:val="en-US"/>
              </w:rPr>
            </w:pPr>
            <w:r>
              <w:rPr>
                <w:rFonts w:eastAsia="ＭＳ 明朝"/>
                <w:lang w:val="en-US"/>
              </w:rPr>
              <w:t>C</w:t>
            </w:r>
            <w:r>
              <w:rPr>
                <w:rFonts w:hint="eastAsia" w:eastAsia="ＭＳ 明朝"/>
                <w:lang w:val="en-US"/>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textAlignment w:val="baseline"/>
              <w:rPr>
                <w:rFonts w:eastAsia="ＭＳ 明朝"/>
                <w:lang w:val="en-US"/>
              </w:rPr>
            </w:pPr>
            <w:r>
              <w:rPr>
                <w:rFonts w:hint="eastAsia" w:eastAsia="ＭＳ 明朝"/>
                <w:lang w:val="en-US"/>
              </w:rPr>
              <w:t>Moderator</w:t>
            </w:r>
          </w:p>
        </w:tc>
        <w:tc>
          <w:tcPr>
            <w:tcW w:w="20687" w:type="dxa"/>
          </w:tcPr>
          <w:p>
            <w:pPr>
              <w:textAlignment w:val="baseline"/>
              <w:rPr>
                <w:rFonts w:eastAsia="ＭＳ 明朝"/>
                <w:lang w:val="en-US"/>
              </w:rPr>
            </w:pPr>
            <w:r>
              <w:rPr>
                <w:rFonts w:hint="eastAsia" w:eastAsia="ＭＳ 明朝"/>
                <w:lang w:val="en-US"/>
              </w:rPr>
              <w:t xml:space="preserve">It seems that RAN4 has agreed the following FG 55-1 for LBCA already [11]: </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3"/>
              <w:gridCol w:w="388"/>
              <w:gridCol w:w="725"/>
              <w:gridCol w:w="1512"/>
              <w:gridCol w:w="415"/>
              <w:gridCol w:w="421"/>
              <w:gridCol w:w="415"/>
              <w:gridCol w:w="844"/>
              <w:gridCol w:w="858"/>
              <w:gridCol w:w="220"/>
              <w:gridCol w:w="765"/>
              <w:gridCol w:w="220"/>
              <w:gridCol w:w="220"/>
              <w:gridCol w:w="7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62" w:type="dxa"/>
                  <w:tcBorders>
                    <w:top w:val="single" w:color="auto" w:sz="4" w:space="0"/>
                    <w:left w:val="single" w:color="auto" w:sz="4" w:space="0"/>
                    <w:bottom w:val="single" w:color="auto" w:sz="4" w:space="0"/>
                    <w:right w:val="single" w:color="auto" w:sz="4" w:space="0"/>
                  </w:tcBorders>
                </w:tcPr>
                <w:p>
                  <w:pPr>
                    <w:keepNext/>
                    <w:keepLines/>
                    <w:textAlignment w:val="baseline"/>
                    <w:rPr>
                      <w:rFonts w:ascii="Arial" w:hAnsi="Arial" w:eastAsia="宋体" w:cs="Arial"/>
                      <w:sz w:val="18"/>
                      <w:szCs w:val="24"/>
                      <w:lang w:val="en-US" w:eastAsia="zh-CN"/>
                    </w:rPr>
                  </w:pPr>
                  <w:r>
                    <w:rPr>
                      <w:rFonts w:ascii="Arial" w:hAnsi="Arial" w:eastAsia="宋体" w:cs="Arial"/>
                      <w:sz w:val="18"/>
                      <w:szCs w:val="24"/>
                      <w:lang w:val="en-US" w:eastAsia="en-US"/>
                    </w:rPr>
                    <w:t>5</w:t>
                  </w:r>
                  <w:r>
                    <w:rPr>
                      <w:rFonts w:hint="eastAsia" w:ascii="Arial" w:hAnsi="Arial" w:eastAsia="宋体" w:cs="Arial"/>
                      <w:sz w:val="18"/>
                      <w:szCs w:val="24"/>
                      <w:lang w:val="en-US" w:eastAsia="zh-CN"/>
                    </w:rPr>
                    <w:t>5</w:t>
                  </w:r>
                  <w:r>
                    <w:rPr>
                      <w:rFonts w:ascii="Arial" w:hAnsi="Arial" w:eastAsia="宋体" w:cs="Arial"/>
                      <w:sz w:val="18"/>
                      <w:szCs w:val="24"/>
                      <w:lang w:val="en-US" w:eastAsia="en-US"/>
                    </w:rPr>
                    <w:t>. NR_LBCA_S</w:t>
                  </w:r>
                  <w:r>
                    <w:rPr>
                      <w:rFonts w:hint="eastAsia" w:ascii="Arial" w:hAnsi="Arial" w:eastAsia="宋体" w:cs="Arial"/>
                      <w:sz w:val="18"/>
                      <w:szCs w:val="24"/>
                      <w:lang w:val="en-US" w:eastAsia="zh-CN"/>
                    </w:rPr>
                    <w:t>W</w:t>
                  </w:r>
                </w:p>
              </w:tc>
              <w:tc>
                <w:tcPr>
                  <w:tcW w:w="284" w:type="dxa"/>
                  <w:tcBorders>
                    <w:top w:val="single" w:color="auto" w:sz="4" w:space="0"/>
                    <w:left w:val="single" w:color="auto" w:sz="4" w:space="0"/>
                    <w:bottom w:val="single" w:color="auto" w:sz="4" w:space="0"/>
                    <w:right w:val="single" w:color="auto" w:sz="4" w:space="0"/>
                  </w:tcBorders>
                </w:tcPr>
                <w:p>
                  <w:pPr>
                    <w:keepNext/>
                    <w:keepLines/>
                    <w:jc w:val="center"/>
                    <w:textAlignment w:val="baseline"/>
                    <w:rPr>
                      <w:rFonts w:ascii="Arial" w:hAnsi="Arial" w:eastAsia="宋体" w:cs="Arial"/>
                      <w:sz w:val="18"/>
                      <w:szCs w:val="24"/>
                      <w:lang w:val="en-US" w:eastAsia="en-US"/>
                    </w:rPr>
                  </w:pPr>
                  <w:r>
                    <w:rPr>
                      <w:rFonts w:ascii="Arial" w:hAnsi="Arial" w:eastAsia="宋体" w:cs="Arial"/>
                      <w:sz w:val="18"/>
                      <w:szCs w:val="24"/>
                      <w:lang w:val="en-US" w:eastAsia="en-US"/>
                    </w:rPr>
                    <w:t>5</w:t>
                  </w:r>
                  <w:r>
                    <w:rPr>
                      <w:rFonts w:hint="eastAsia" w:ascii="Arial" w:hAnsi="Arial" w:eastAsia="宋体" w:cs="Arial"/>
                      <w:sz w:val="18"/>
                      <w:szCs w:val="24"/>
                      <w:lang w:val="en-US" w:eastAsia="zh-CN"/>
                    </w:rPr>
                    <w:t>5</w:t>
                  </w:r>
                  <w:r>
                    <w:rPr>
                      <w:rFonts w:ascii="Arial" w:hAnsi="Arial" w:eastAsia="宋体" w:cs="Arial"/>
                      <w:sz w:val="18"/>
                      <w:szCs w:val="24"/>
                      <w:lang w:val="en-US" w:eastAsia="en-US"/>
                    </w:rPr>
                    <w:t>-1</w:t>
                  </w:r>
                </w:p>
              </w:tc>
              <w:tc>
                <w:tcPr>
                  <w:tcW w:w="850" w:type="dxa"/>
                  <w:tcBorders>
                    <w:top w:val="single" w:color="auto" w:sz="4" w:space="0"/>
                    <w:left w:val="single" w:color="auto" w:sz="4" w:space="0"/>
                    <w:bottom w:val="single" w:color="auto" w:sz="4" w:space="0"/>
                    <w:right w:val="single" w:color="auto" w:sz="4" w:space="0"/>
                  </w:tcBorders>
                </w:tcPr>
                <w:p>
                  <w:pPr>
                    <w:keepNext/>
                    <w:keepLines/>
                    <w:jc w:val="center"/>
                    <w:textAlignment w:val="baseline"/>
                    <w:rPr>
                      <w:rFonts w:ascii="Arial" w:hAnsi="Arial" w:eastAsia="宋体" w:cs="Arial"/>
                      <w:sz w:val="18"/>
                      <w:szCs w:val="24"/>
                      <w:lang w:val="en-US" w:eastAsia="en-US"/>
                    </w:rPr>
                  </w:pPr>
                  <w:r>
                    <w:rPr>
                      <w:rFonts w:ascii="Arial" w:hAnsi="Arial" w:eastAsia="宋体" w:cs="Arial"/>
                      <w:color w:val="000000"/>
                      <w:sz w:val="18"/>
                      <w:szCs w:val="24"/>
                      <w:lang w:val="en-US" w:eastAsia="en-US"/>
                    </w:rPr>
                    <w:t>Switching period for  switching between a LB FDD band and an SDL band</w:t>
                  </w:r>
                </w:p>
              </w:tc>
              <w:tc>
                <w:tcPr>
                  <w:tcW w:w="3402" w:type="dxa"/>
                  <w:tcBorders>
                    <w:top w:val="single" w:color="auto" w:sz="4" w:space="0"/>
                    <w:left w:val="single" w:color="auto" w:sz="4" w:space="0"/>
                    <w:bottom w:val="single" w:color="auto" w:sz="4" w:space="0"/>
                    <w:right w:val="single" w:color="auto" w:sz="4" w:space="0"/>
                  </w:tcBorders>
                </w:tcPr>
                <w:p>
                  <w:pPr>
                    <w:keepNext/>
                    <w:keepLines/>
                    <w:rPr>
                      <w:rFonts w:ascii="Arial" w:hAnsi="Arial" w:eastAsia="宋体" w:cs="Arial"/>
                      <w:color w:val="000000"/>
                      <w:sz w:val="18"/>
                      <w:szCs w:val="24"/>
                      <w:lang w:val="en-US" w:eastAsia="en-US"/>
                    </w:rPr>
                  </w:pPr>
                  <w:r>
                    <w:rPr>
                      <w:rFonts w:ascii="Arial" w:hAnsi="Arial" w:eastAsia="宋体" w:cs="Arial"/>
                      <w:color w:val="000000"/>
                      <w:sz w:val="18"/>
                      <w:szCs w:val="24"/>
                      <w:lang w:val="en-US" w:eastAsia="en-US"/>
                    </w:rPr>
                    <w:t>UE to indicate support of LB-LB carrier aggregation via switching between an FDD band and SDL band.</w:t>
                  </w:r>
                  <w:r>
                    <w:rPr>
                      <w:rFonts w:hint="eastAsia" w:ascii="Arial" w:hAnsi="Arial" w:eastAsia="宋体" w:cs="Arial"/>
                      <w:color w:val="000000"/>
                      <w:sz w:val="18"/>
                      <w:szCs w:val="24"/>
                      <w:lang w:val="en-US" w:eastAsia="zh-CN"/>
                    </w:rPr>
                    <w:t xml:space="preserve"> [</w:t>
                  </w:r>
                  <w:r>
                    <w:rPr>
                      <w:rFonts w:ascii="Arial" w:hAnsi="Arial" w:eastAsia="宋体" w:cs="Arial"/>
                      <w:color w:val="000000"/>
                      <w:sz w:val="18"/>
                      <w:szCs w:val="24"/>
                      <w:lang w:val="en-US" w:eastAsia="zh-CN"/>
                    </w:rPr>
                    <w:t>The con-current reception on FDD band and SDL band is not supported. The con-current operation between FDD UL and SDL is not supported.</w:t>
                  </w:r>
                  <w:r>
                    <w:rPr>
                      <w:rFonts w:hint="eastAsia" w:ascii="Arial" w:hAnsi="Arial" w:eastAsia="宋体" w:cs="Arial"/>
                      <w:color w:val="000000"/>
                      <w:sz w:val="18"/>
                      <w:szCs w:val="24"/>
                      <w:lang w:val="en-US" w:eastAsia="zh-CN"/>
                    </w:rPr>
                    <w:t>]</w:t>
                  </w:r>
                </w:p>
                <w:p>
                  <w:pPr>
                    <w:keepNext/>
                    <w:keepLines/>
                    <w:rPr>
                      <w:rFonts w:ascii="Arial" w:hAnsi="Arial" w:eastAsia="宋体" w:cs="Arial"/>
                      <w:color w:val="000000"/>
                      <w:sz w:val="18"/>
                      <w:szCs w:val="24"/>
                      <w:lang w:val="en-US" w:eastAsia="en-US"/>
                    </w:rPr>
                  </w:pPr>
                </w:p>
                <w:p>
                  <w:pPr>
                    <w:contextualSpacing/>
                    <w:rPr>
                      <w:rFonts w:ascii="Arial" w:hAnsi="Arial" w:eastAsia="宋体" w:cs="Arial"/>
                      <w:color w:val="000000"/>
                      <w:sz w:val="18"/>
                      <w:szCs w:val="24"/>
                      <w:lang w:val="en-US" w:eastAsia="en-US"/>
                    </w:rPr>
                  </w:pPr>
                  <w:r>
                    <w:rPr>
                      <w:rFonts w:ascii="Arial" w:hAnsi="Arial" w:eastAsia="宋体" w:cs="Arial"/>
                      <w:i/>
                      <w:color w:val="000000"/>
                      <w:sz w:val="18"/>
                      <w:szCs w:val="24"/>
                      <w:lang w:val="en-US" w:eastAsia="en-US"/>
                    </w:rPr>
                    <w:t>switchingPeriodForFDD-SDL</w:t>
                  </w:r>
                  <w:r>
                    <w:rPr>
                      <w:rFonts w:ascii="Arial" w:hAnsi="Arial" w:eastAsia="宋体" w:cs="Arial"/>
                      <w:color w:val="000000"/>
                      <w:sz w:val="18"/>
                      <w:szCs w:val="24"/>
                      <w:lang w:val="en-US" w:eastAsia="en-US"/>
                    </w:rPr>
                    <w:t xml:space="preserve"> indicates the length of the switching time between an FDD band and SDL band: 35us represents 35 us of switching time, 140us represents 140us of switching time, as specified in TS 38.101-1.</w:t>
                  </w:r>
                </w:p>
                <w:p>
                  <w:pPr>
                    <w:contextualSpacing/>
                    <w:rPr>
                      <w:rFonts w:ascii="Arial" w:hAnsi="Arial" w:eastAsia="宋体" w:cs="Arial"/>
                      <w:sz w:val="18"/>
                      <w:szCs w:val="24"/>
                      <w:lang w:val="en-US" w:eastAsia="en-US"/>
                    </w:rPr>
                  </w:pPr>
                </w:p>
              </w:tc>
              <w:tc>
                <w:tcPr>
                  <w:tcW w:w="284" w:type="dxa"/>
                  <w:tcBorders>
                    <w:top w:val="single" w:color="auto" w:sz="4" w:space="0"/>
                    <w:left w:val="single" w:color="auto" w:sz="4" w:space="0"/>
                    <w:bottom w:val="single" w:color="auto" w:sz="4" w:space="0"/>
                    <w:right w:val="single" w:color="auto" w:sz="4" w:space="0"/>
                  </w:tcBorders>
                </w:tcPr>
                <w:p>
                  <w:pPr>
                    <w:keepNext/>
                    <w:keepLines/>
                    <w:jc w:val="center"/>
                    <w:textAlignment w:val="baseline"/>
                    <w:rPr>
                      <w:rFonts w:ascii="Arial" w:hAnsi="Arial" w:eastAsia="宋体" w:cs="Arial"/>
                      <w:sz w:val="18"/>
                      <w:szCs w:val="24"/>
                      <w:lang w:val="en-US" w:eastAsia="en-US"/>
                    </w:rPr>
                  </w:pPr>
                  <w:r>
                    <w:rPr>
                      <w:rFonts w:ascii="Arial" w:hAnsi="Arial" w:eastAsia="宋体" w:cs="Arial"/>
                      <w:sz w:val="18"/>
                      <w:szCs w:val="24"/>
                      <w:lang w:val="en-US" w:eastAsia="en-US"/>
                    </w:rPr>
                    <w:t>N/A</w:t>
                  </w:r>
                </w:p>
              </w:tc>
              <w:tc>
                <w:tcPr>
                  <w:tcW w:w="283" w:type="dxa"/>
                  <w:tcBorders>
                    <w:top w:val="single" w:color="auto" w:sz="4" w:space="0"/>
                    <w:left w:val="single" w:color="auto" w:sz="4" w:space="0"/>
                    <w:bottom w:val="single" w:color="auto" w:sz="4" w:space="0"/>
                    <w:right w:val="single" w:color="auto" w:sz="4" w:space="0"/>
                  </w:tcBorders>
                </w:tcPr>
                <w:p>
                  <w:pPr>
                    <w:keepNext/>
                    <w:keepLines/>
                    <w:jc w:val="center"/>
                    <w:textAlignment w:val="baseline"/>
                    <w:rPr>
                      <w:rFonts w:ascii="Arial" w:hAnsi="Arial" w:eastAsia="宋体" w:cs="Arial"/>
                      <w:sz w:val="18"/>
                      <w:szCs w:val="24"/>
                      <w:lang w:val="en-US" w:eastAsia="en-US"/>
                    </w:rPr>
                  </w:pPr>
                  <w:r>
                    <w:rPr>
                      <w:rFonts w:ascii="Arial" w:hAnsi="Arial" w:eastAsia="宋体" w:cs="Arial"/>
                      <w:sz w:val="18"/>
                      <w:szCs w:val="24"/>
                      <w:lang w:val="en-US" w:eastAsia="en-US"/>
                    </w:rPr>
                    <w:t>Yes</w:t>
                  </w:r>
                </w:p>
              </w:tc>
              <w:tc>
                <w:tcPr>
                  <w:tcW w:w="284" w:type="dxa"/>
                  <w:tcBorders>
                    <w:top w:val="single" w:color="auto" w:sz="4" w:space="0"/>
                    <w:left w:val="single" w:color="auto" w:sz="4" w:space="0"/>
                    <w:bottom w:val="single" w:color="auto" w:sz="4" w:space="0"/>
                    <w:right w:val="single" w:color="auto" w:sz="4" w:space="0"/>
                  </w:tcBorders>
                </w:tcPr>
                <w:p>
                  <w:pPr>
                    <w:keepNext/>
                    <w:keepLines/>
                    <w:jc w:val="center"/>
                    <w:textAlignment w:val="baseline"/>
                    <w:rPr>
                      <w:rFonts w:ascii="Arial" w:hAnsi="Arial" w:eastAsia="宋体" w:cs="Arial"/>
                      <w:sz w:val="18"/>
                      <w:szCs w:val="24"/>
                      <w:lang w:val="en-US" w:eastAsia="en-US"/>
                    </w:rPr>
                  </w:pPr>
                  <w:r>
                    <w:rPr>
                      <w:rFonts w:ascii="Arial" w:hAnsi="Arial" w:eastAsia="宋体" w:cs="Arial"/>
                      <w:sz w:val="18"/>
                      <w:szCs w:val="24"/>
                      <w:lang w:val="en-US" w:eastAsia="en-US"/>
                    </w:rPr>
                    <w:t>N/A</w:t>
                  </w:r>
                </w:p>
              </w:tc>
              <w:tc>
                <w:tcPr>
                  <w:tcW w:w="1134" w:type="dxa"/>
                  <w:tcBorders>
                    <w:top w:val="single" w:color="auto" w:sz="4" w:space="0"/>
                    <w:left w:val="single" w:color="auto" w:sz="4" w:space="0"/>
                    <w:bottom w:val="single" w:color="auto" w:sz="4" w:space="0"/>
                    <w:right w:val="single" w:color="auto" w:sz="4" w:space="0"/>
                  </w:tcBorders>
                </w:tcPr>
                <w:p>
                  <w:pPr>
                    <w:keepNext/>
                    <w:keepLines/>
                    <w:rPr>
                      <w:rFonts w:ascii="Arial" w:hAnsi="Arial" w:eastAsia="宋体" w:cs="Arial"/>
                      <w:sz w:val="18"/>
                      <w:szCs w:val="24"/>
                      <w:lang w:val="en-US" w:eastAsia="en-US"/>
                    </w:rPr>
                  </w:pPr>
                  <w:r>
                    <w:rPr>
                      <w:rFonts w:ascii="Arial" w:hAnsi="Arial" w:eastAsia="宋体" w:cs="Arial"/>
                      <w:color w:val="000000"/>
                      <w:sz w:val="18"/>
                      <w:szCs w:val="18"/>
                      <w:lang w:val="en-US" w:eastAsia="en-US"/>
                    </w:rPr>
                    <w:t>Operation of Carrier aggregation between FDD and SDL via switching is not supported.</w:t>
                  </w:r>
                </w:p>
              </w:tc>
              <w:tc>
                <w:tcPr>
                  <w:tcW w:w="709" w:type="dxa"/>
                  <w:tcBorders>
                    <w:top w:val="single" w:color="auto" w:sz="4" w:space="0"/>
                    <w:left w:val="single" w:color="auto" w:sz="4" w:space="0"/>
                    <w:bottom w:val="single" w:color="auto" w:sz="4" w:space="0"/>
                    <w:right w:val="single" w:color="auto" w:sz="4" w:space="0"/>
                  </w:tcBorders>
                </w:tcPr>
                <w:p>
                  <w:pPr>
                    <w:keepNext/>
                    <w:keepLines/>
                    <w:rPr>
                      <w:rFonts w:ascii="Arial" w:hAnsi="Arial" w:eastAsia="宋体" w:cs="Arial"/>
                      <w:sz w:val="18"/>
                      <w:szCs w:val="24"/>
                      <w:lang w:val="en-US" w:eastAsia="en-US"/>
                    </w:rPr>
                  </w:pPr>
                  <w:r>
                    <w:rPr>
                      <w:rFonts w:ascii="Arial" w:hAnsi="Arial" w:eastAsia="宋体" w:cs="Arial"/>
                      <w:sz w:val="18"/>
                      <w:szCs w:val="18"/>
                      <w:lang w:val="en-US" w:eastAsia="en-US"/>
                    </w:rPr>
                    <w:t>Per band pair per band combination</w:t>
                  </w:r>
                </w:p>
              </w:tc>
              <w:tc>
                <w:tcPr>
                  <w:tcW w:w="283" w:type="dxa"/>
                  <w:tcBorders>
                    <w:top w:val="single" w:color="auto" w:sz="4" w:space="0"/>
                    <w:left w:val="single" w:color="auto" w:sz="4" w:space="0"/>
                    <w:bottom w:val="single" w:color="auto" w:sz="4" w:space="0"/>
                    <w:right w:val="single" w:color="auto" w:sz="4" w:space="0"/>
                  </w:tcBorders>
                </w:tcPr>
                <w:p>
                  <w:pPr>
                    <w:keepNext/>
                    <w:keepLines/>
                    <w:jc w:val="center"/>
                    <w:textAlignment w:val="baseline"/>
                    <w:rPr>
                      <w:rFonts w:ascii="Arial" w:hAnsi="Arial" w:eastAsia="宋体" w:cs="Arial"/>
                      <w:sz w:val="18"/>
                      <w:szCs w:val="24"/>
                      <w:lang w:val="en-US" w:eastAsia="en-US"/>
                    </w:rPr>
                  </w:pPr>
                </w:p>
              </w:tc>
              <w:tc>
                <w:tcPr>
                  <w:tcW w:w="567" w:type="dxa"/>
                  <w:tcBorders>
                    <w:top w:val="single" w:color="auto" w:sz="4" w:space="0"/>
                    <w:left w:val="single" w:color="auto" w:sz="4" w:space="0"/>
                    <w:bottom w:val="single" w:color="auto" w:sz="4" w:space="0"/>
                    <w:right w:val="single" w:color="auto" w:sz="4" w:space="0"/>
                  </w:tcBorders>
                </w:tcPr>
                <w:p>
                  <w:pPr>
                    <w:keepNext/>
                    <w:keepLines/>
                    <w:jc w:val="center"/>
                    <w:textAlignment w:val="baseline"/>
                    <w:rPr>
                      <w:rFonts w:ascii="Arial" w:hAnsi="Arial" w:eastAsia="宋体" w:cs="Arial"/>
                      <w:sz w:val="18"/>
                      <w:szCs w:val="24"/>
                      <w:lang w:val="en-US" w:eastAsia="en-US"/>
                    </w:rPr>
                  </w:pPr>
                  <w:r>
                    <w:rPr>
                      <w:rFonts w:ascii="Arial" w:hAnsi="Arial" w:eastAsia="宋体" w:cs="Arial"/>
                      <w:sz w:val="18"/>
                      <w:szCs w:val="24"/>
                      <w:lang w:val="en-US" w:eastAsia="en-US"/>
                    </w:rPr>
                    <w:t>Applicable to FR1 only</w:t>
                  </w:r>
                </w:p>
              </w:tc>
              <w:tc>
                <w:tcPr>
                  <w:tcW w:w="284" w:type="dxa"/>
                  <w:tcBorders>
                    <w:top w:val="single" w:color="auto" w:sz="4" w:space="0"/>
                    <w:left w:val="single" w:color="auto" w:sz="4" w:space="0"/>
                    <w:bottom w:val="single" w:color="auto" w:sz="4" w:space="0"/>
                    <w:right w:val="single" w:color="auto" w:sz="4" w:space="0"/>
                  </w:tcBorders>
                </w:tcPr>
                <w:p>
                  <w:pPr>
                    <w:keepNext/>
                    <w:keepLines/>
                    <w:jc w:val="center"/>
                    <w:textAlignment w:val="baseline"/>
                    <w:rPr>
                      <w:rFonts w:ascii="Arial" w:hAnsi="Arial" w:eastAsia="宋体" w:cs="Arial"/>
                      <w:sz w:val="18"/>
                      <w:szCs w:val="24"/>
                      <w:lang w:val="en-US" w:eastAsia="en-US"/>
                    </w:rPr>
                  </w:pPr>
                </w:p>
              </w:tc>
              <w:tc>
                <w:tcPr>
                  <w:tcW w:w="291" w:type="dxa"/>
                  <w:tcBorders>
                    <w:top w:val="single" w:color="auto" w:sz="4" w:space="0"/>
                    <w:left w:val="single" w:color="auto" w:sz="4" w:space="0"/>
                    <w:bottom w:val="single" w:color="auto" w:sz="4" w:space="0"/>
                    <w:right w:val="single" w:color="auto" w:sz="4" w:space="0"/>
                  </w:tcBorders>
                </w:tcPr>
                <w:p>
                  <w:pPr>
                    <w:keepNext/>
                    <w:keepLines/>
                    <w:jc w:val="center"/>
                    <w:textAlignment w:val="baseline"/>
                    <w:rPr>
                      <w:rFonts w:ascii="Arial" w:hAnsi="Arial" w:eastAsia="宋体" w:cs="Arial"/>
                      <w:sz w:val="18"/>
                      <w:szCs w:val="24"/>
                      <w:lang w:val="en-US" w:eastAsia="en-US"/>
                    </w:rPr>
                  </w:pPr>
                </w:p>
              </w:tc>
              <w:tc>
                <w:tcPr>
                  <w:tcW w:w="745" w:type="dxa"/>
                  <w:tcBorders>
                    <w:top w:val="single" w:color="auto" w:sz="4" w:space="0"/>
                    <w:left w:val="single" w:color="auto" w:sz="4" w:space="0"/>
                    <w:bottom w:val="single" w:color="auto" w:sz="4" w:space="0"/>
                    <w:right w:val="single" w:color="auto" w:sz="4" w:space="0"/>
                  </w:tcBorders>
                </w:tcPr>
                <w:p>
                  <w:pPr>
                    <w:keepNext/>
                    <w:keepLines/>
                    <w:jc w:val="center"/>
                    <w:textAlignment w:val="baseline"/>
                    <w:rPr>
                      <w:rFonts w:ascii="Arial" w:hAnsi="Arial" w:eastAsia="宋体" w:cs="Arial"/>
                      <w:sz w:val="18"/>
                      <w:szCs w:val="24"/>
                      <w:lang w:val="en-US" w:eastAsia="en-US"/>
                    </w:rPr>
                  </w:pPr>
                  <w:r>
                    <w:rPr>
                      <w:rFonts w:ascii="Arial" w:hAnsi="Arial" w:eastAsia="宋体" w:cs="Arial"/>
                      <w:sz w:val="18"/>
                      <w:szCs w:val="24"/>
                      <w:lang w:val="en-US" w:eastAsia="en-US"/>
                    </w:rPr>
                    <w:t>Optional with capability signalling</w:t>
                  </w:r>
                </w:p>
              </w:tc>
            </w:tr>
          </w:tbl>
          <w:p>
            <w:pPr>
              <w:textAlignment w:val="baseline"/>
              <w:rPr>
                <w:rFonts w:eastAsia="ＭＳ 明朝"/>
                <w:lang w:val="en-US"/>
              </w:rPr>
            </w:pPr>
          </w:p>
          <w:p>
            <w:pPr>
              <w:textAlignment w:val="baseline"/>
              <w:rPr>
                <w:rFonts w:eastAsia="ＭＳ 明朝"/>
                <w:lang w:val="en-US"/>
              </w:rPr>
            </w:pPr>
            <w:r>
              <w:rPr>
                <w:rFonts w:eastAsia="ＭＳ 明朝"/>
                <w:lang w:val="en-US"/>
              </w:rPr>
              <w:t>F</w:t>
            </w:r>
            <w:r>
              <w:rPr>
                <w:rFonts w:hint="eastAsia" w:eastAsia="ＭＳ 明朝"/>
                <w:lang w:val="en-US"/>
              </w:rPr>
              <w:t xml:space="preserve">rom my perspective, since RAN4 is the leading WG including UE capability definition (per WID), the above FG should be the basic one for UE to support Rel-19 LBCA operation. </w:t>
            </w:r>
            <w:r>
              <w:rPr>
                <w:rFonts w:eastAsia="ＭＳ 明朝"/>
                <w:lang w:val="en-US"/>
              </w:rPr>
              <w:t>T</w:t>
            </w:r>
            <w:r>
              <w:rPr>
                <w:rFonts w:hint="eastAsia" w:eastAsia="ＭＳ 明朝"/>
                <w:lang w:val="en-US"/>
              </w:rPr>
              <w:t xml:space="preserve">hus, if RAN1 is going to define FG(s), it is straightforward to consider only something which is not captured in RAN4 FG. Also, since at least one FG (RAN4 55-1) is there, </w:t>
            </w:r>
            <w:r>
              <w:rPr>
                <w:rFonts w:eastAsia="ＭＳ 明朝"/>
                <w:lang w:val="en-US"/>
              </w:rPr>
              <w:t>I</w:t>
            </w:r>
            <w:r>
              <w:rPr>
                <w:rFonts w:hint="eastAsia" w:eastAsia="ＭＳ 明朝"/>
                <w:lang w:val="en-US"/>
              </w:rPr>
              <w:t xml:space="preserve"> guess it may not be essential to capture something that </w:t>
            </w:r>
            <w:r>
              <w:rPr>
                <w:rFonts w:eastAsia="ＭＳ 明朝"/>
                <w:lang w:val="en-US"/>
              </w:rPr>
              <w:t>doesn’t</w:t>
            </w:r>
            <w:r>
              <w:rPr>
                <w:rFonts w:hint="eastAsia" w:eastAsia="ＭＳ 明朝"/>
                <w:lang w:val="en-US"/>
              </w:rPr>
              <w:t xml:space="preserve"> have candidate values which may be different for </w:t>
            </w:r>
            <w:r>
              <w:rPr>
                <w:rFonts w:eastAsia="ＭＳ 明朝"/>
                <w:lang w:val="en-US"/>
              </w:rPr>
              <w:t>different</w:t>
            </w:r>
            <w:r>
              <w:rPr>
                <w:rFonts w:hint="eastAsia" w:eastAsia="ＭＳ 明朝"/>
                <w:lang w:val="en-US"/>
              </w:rPr>
              <w:t xml:space="preserve"> UEs. </w:t>
            </w:r>
          </w:p>
          <w:p>
            <w:pPr>
              <w:textAlignment w:val="baseline"/>
              <w:rPr>
                <w:rFonts w:eastAsia="ＭＳ 明朝"/>
                <w:lang w:val="en-US"/>
              </w:rPr>
            </w:pPr>
            <w:r>
              <w:rPr>
                <w:rFonts w:hint="eastAsia" w:eastAsia="ＭＳ 明朝"/>
                <w:lang w:val="en-US"/>
              </w:rPr>
              <w:t xml:space="preserve">For </w:t>
            </w:r>
            <w:r>
              <w:rPr>
                <w:rFonts w:eastAsia="ＭＳ 明朝"/>
                <w:lang w:val="en-US"/>
              </w:rPr>
              <w:t>potential</w:t>
            </w:r>
            <w:r>
              <w:rPr>
                <w:rFonts w:hint="eastAsia" w:eastAsia="ＭＳ 明朝"/>
                <w:lang w:val="en-US"/>
              </w:rPr>
              <w:t xml:space="preserve"> components proposed right now, the following is my thinking: </w:t>
            </w:r>
          </w:p>
          <w:p>
            <w:pPr>
              <w:pStyle w:val="31"/>
              <w:numPr>
                <w:ilvl w:val="0"/>
                <w:numId w:val="7"/>
              </w:numPr>
              <w:ind w:leftChars="0"/>
              <w:textAlignment w:val="baseline"/>
              <w:rPr>
                <w:rFonts w:eastAsia="ＭＳ 明朝"/>
                <w:highlight w:val="yellow"/>
                <w:lang w:val="en-US"/>
              </w:rPr>
            </w:pPr>
            <w:r>
              <w:rPr>
                <w:rFonts w:eastAsia="ＭＳ 明朝"/>
                <w:highlight w:val="yellow"/>
                <w:lang w:val="en-US"/>
              </w:rPr>
              <w:t>F</w:t>
            </w:r>
            <w:r>
              <w:rPr>
                <w:rFonts w:hint="eastAsia" w:eastAsia="ＭＳ 明朝"/>
                <w:highlight w:val="yellow"/>
                <w:lang w:val="en-US"/>
              </w:rPr>
              <w:t xml:space="preserve">or semi-static </w:t>
            </w:r>
            <w:r>
              <w:rPr>
                <w:rFonts w:eastAsia="ＭＳ 明朝"/>
                <w:highlight w:val="yellow"/>
                <w:lang w:val="en-US"/>
              </w:rPr>
              <w:t>configuration</w:t>
            </w:r>
            <w:r>
              <w:rPr>
                <w:rFonts w:hint="eastAsia" w:eastAsia="ＭＳ 明朝"/>
                <w:highlight w:val="yellow"/>
                <w:lang w:val="en-US"/>
              </w:rPr>
              <w:t xml:space="preserve"> pattern, it seems what RAN1 agreed so far should be supported for all UEs </w:t>
            </w:r>
            <w:r>
              <w:rPr>
                <w:rFonts w:eastAsia="ＭＳ 明朝"/>
                <w:highlight w:val="yellow"/>
                <w:lang w:val="en-US"/>
              </w:rPr>
              <w:t>supporting</w:t>
            </w:r>
            <w:r>
              <w:rPr>
                <w:rFonts w:hint="eastAsia" w:eastAsia="ＭＳ 明朝"/>
                <w:highlight w:val="yellow"/>
                <w:lang w:val="en-US"/>
              </w:rPr>
              <w:t xml:space="preserve"> Rel-19 LBCA. </w:t>
            </w:r>
            <w:r>
              <w:rPr>
                <w:rFonts w:eastAsia="ＭＳ 明朝"/>
                <w:highlight w:val="yellow"/>
                <w:lang w:val="en-US"/>
              </w:rPr>
              <w:t>H</w:t>
            </w:r>
            <w:r>
              <w:rPr>
                <w:rFonts w:hint="eastAsia" w:eastAsia="ＭＳ 明朝"/>
                <w:highlight w:val="yellow"/>
                <w:lang w:val="en-US"/>
              </w:rPr>
              <w:t xml:space="preserve">ence it does not necessarily motivate RAN1 to have FG. </w:t>
            </w:r>
          </w:p>
          <w:p>
            <w:pPr>
              <w:pStyle w:val="31"/>
              <w:numPr>
                <w:ilvl w:val="0"/>
                <w:numId w:val="7"/>
              </w:numPr>
              <w:ind w:leftChars="0"/>
              <w:textAlignment w:val="baseline"/>
              <w:rPr>
                <w:rFonts w:eastAsia="ＭＳ 明朝"/>
                <w:highlight w:val="yellow"/>
                <w:lang w:val="en-US"/>
              </w:rPr>
            </w:pPr>
            <w:r>
              <w:rPr>
                <w:rFonts w:eastAsia="ＭＳ 明朝"/>
                <w:highlight w:val="yellow"/>
                <w:lang w:val="en-US"/>
              </w:rPr>
              <w:t>F</w:t>
            </w:r>
            <w:r>
              <w:rPr>
                <w:rFonts w:hint="eastAsia" w:eastAsia="ＭＳ 明朝"/>
                <w:highlight w:val="yellow"/>
                <w:lang w:val="en-US"/>
              </w:rPr>
              <w:t xml:space="preserve">or switching gap (or period), it seems RAN4 FG above captures this already. </w:t>
            </w:r>
            <w:r>
              <w:rPr>
                <w:rFonts w:eastAsia="ＭＳ 明朝"/>
                <w:highlight w:val="yellow"/>
                <w:lang w:val="en-US"/>
              </w:rPr>
              <w:t>S</w:t>
            </w:r>
            <w:r>
              <w:rPr>
                <w:rFonts w:hint="eastAsia" w:eastAsia="ＭＳ 明朝"/>
                <w:highlight w:val="yellow"/>
                <w:lang w:val="en-US"/>
              </w:rPr>
              <w:t xml:space="preserve">o </w:t>
            </w:r>
            <w:r>
              <w:rPr>
                <w:rFonts w:eastAsia="ＭＳ 明朝"/>
                <w:highlight w:val="yellow"/>
                <w:lang w:val="en-US"/>
              </w:rPr>
              <w:t>further</w:t>
            </w:r>
            <w:r>
              <w:rPr>
                <w:rFonts w:hint="eastAsia" w:eastAsia="ＭＳ 明朝"/>
                <w:highlight w:val="yellow"/>
                <w:lang w:val="en-US"/>
              </w:rPr>
              <w:t xml:space="preserve"> need of FG is not very clear. </w:t>
            </w:r>
          </w:p>
          <w:p>
            <w:pPr>
              <w:pStyle w:val="31"/>
              <w:numPr>
                <w:ilvl w:val="0"/>
                <w:numId w:val="7"/>
              </w:numPr>
              <w:ind w:leftChars="0"/>
              <w:textAlignment w:val="baseline"/>
              <w:rPr>
                <w:rFonts w:eastAsia="ＭＳ 明朝"/>
                <w:highlight w:val="yellow"/>
                <w:lang w:val="en-US"/>
              </w:rPr>
            </w:pPr>
            <w:r>
              <w:rPr>
                <w:rFonts w:eastAsia="ＭＳ 明朝"/>
                <w:highlight w:val="yellow"/>
                <w:lang w:val="en-US"/>
              </w:rPr>
              <w:t>L</w:t>
            </w:r>
            <w:r>
              <w:rPr>
                <w:rFonts w:hint="eastAsia" w:eastAsia="ＭＳ 明朝"/>
                <w:highlight w:val="yellow"/>
                <w:lang w:val="en-US"/>
              </w:rPr>
              <w:t xml:space="preserve">ikewise, collision handling is </w:t>
            </w:r>
            <w:r>
              <w:rPr>
                <w:rFonts w:eastAsia="ＭＳ 明朝"/>
                <w:highlight w:val="yellow"/>
                <w:lang w:val="en-US"/>
              </w:rPr>
              <w:t>common</w:t>
            </w:r>
            <w:r>
              <w:rPr>
                <w:rFonts w:hint="eastAsia" w:eastAsia="ＭＳ 明朝"/>
                <w:highlight w:val="yellow"/>
                <w:lang w:val="en-US"/>
              </w:rPr>
              <w:t xml:space="preserve"> </w:t>
            </w:r>
            <w:r>
              <w:rPr>
                <w:rFonts w:eastAsia="ＭＳ 明朝"/>
                <w:highlight w:val="yellow"/>
                <w:lang w:val="en-US"/>
              </w:rPr>
              <w:t>across</w:t>
            </w:r>
            <w:r>
              <w:rPr>
                <w:rFonts w:hint="eastAsia" w:eastAsia="ＭＳ 明朝"/>
                <w:highlight w:val="yellow"/>
                <w:lang w:val="en-US"/>
              </w:rPr>
              <w:t xml:space="preserve"> UEs supporting Rel-19 LBCA </w:t>
            </w:r>
            <w:r>
              <w:rPr>
                <w:rFonts w:eastAsia="ＭＳ 明朝"/>
                <w:highlight w:val="yellow"/>
                <w:lang w:val="en-US"/>
              </w:rPr>
              <w:t>–</w:t>
            </w:r>
            <w:r>
              <w:rPr>
                <w:rFonts w:hint="eastAsia" w:eastAsia="ＭＳ 明朝"/>
                <w:highlight w:val="yellow"/>
                <w:lang w:val="en-US"/>
              </w:rPr>
              <w:t xml:space="preserve"> leading to the same situation as above, i.e., RAN1 FG is not essential. </w:t>
            </w:r>
          </w:p>
          <w:p>
            <w:pPr>
              <w:pStyle w:val="31"/>
              <w:numPr>
                <w:ilvl w:val="0"/>
                <w:numId w:val="7"/>
              </w:numPr>
              <w:ind w:leftChars="0"/>
              <w:textAlignment w:val="baseline"/>
              <w:rPr>
                <w:rFonts w:eastAsia="ＭＳ 明朝"/>
                <w:lang w:val="en-US"/>
              </w:rPr>
            </w:pPr>
            <w:r>
              <w:rPr>
                <w:rFonts w:eastAsia="ＭＳ 明朝"/>
                <w:lang w:val="en-US"/>
              </w:rPr>
              <w:t>F</w:t>
            </w:r>
            <w:r>
              <w:rPr>
                <w:rFonts w:hint="eastAsia" w:eastAsia="ＭＳ 明朝"/>
                <w:lang w:val="en-US"/>
              </w:rPr>
              <w:t xml:space="preserve">or maximum number of switching per a certain period, </w:t>
            </w:r>
            <w:r>
              <w:rPr>
                <w:rFonts w:eastAsia="ＭＳ 明朝"/>
                <w:lang w:val="en-US"/>
              </w:rPr>
              <w:t>I</w:t>
            </w:r>
            <w:r>
              <w:rPr>
                <w:rFonts w:hint="eastAsia" w:eastAsia="ＭＳ 明朝"/>
                <w:lang w:val="en-US"/>
              </w:rPr>
              <w:t xml:space="preserve"> understand there will be a discussion in maintenance. </w:t>
            </w:r>
            <w:r>
              <w:rPr>
                <w:rFonts w:eastAsia="ＭＳ 明朝"/>
                <w:lang w:val="en-US"/>
              </w:rPr>
              <w:t>I</w:t>
            </w:r>
            <w:r>
              <w:rPr>
                <w:rFonts w:hint="eastAsia" w:eastAsia="ＭＳ 明朝"/>
                <w:lang w:val="en-US"/>
              </w:rPr>
              <w:t xml:space="preserve">f it leads to multiple values for limitations, then RAN1 FG is indeed needed </w:t>
            </w:r>
            <w:r>
              <w:rPr>
                <w:rFonts w:eastAsia="ＭＳ 明朝"/>
                <w:lang w:val="en-US"/>
              </w:rPr>
              <w:t>–</w:t>
            </w:r>
            <w:r>
              <w:rPr>
                <w:rFonts w:hint="eastAsia" w:eastAsia="ＭＳ 明朝"/>
                <w:lang w:val="en-US"/>
              </w:rPr>
              <w:t xml:space="preserve"> while not sure if it occurs for now. </w:t>
            </w:r>
          </w:p>
          <w:p>
            <w:pPr>
              <w:pStyle w:val="31"/>
              <w:numPr>
                <w:ilvl w:val="0"/>
                <w:numId w:val="7"/>
              </w:numPr>
              <w:ind w:leftChars="0"/>
              <w:textAlignment w:val="baseline"/>
              <w:rPr>
                <w:rFonts w:eastAsia="ＭＳ 明朝"/>
                <w:lang w:val="en-US"/>
              </w:rPr>
            </w:pPr>
            <w:r>
              <w:rPr>
                <w:rFonts w:eastAsia="ＭＳ 明朝"/>
                <w:lang w:val="en-US"/>
              </w:rPr>
              <w:t>F</w:t>
            </w:r>
            <w:r>
              <w:rPr>
                <w:rFonts w:hint="eastAsia" w:eastAsia="ＭＳ 明朝"/>
                <w:lang w:val="en-US"/>
              </w:rPr>
              <w:t xml:space="preserve">or HARQ-ACK codebook aspects, </w:t>
            </w:r>
            <w:r>
              <w:rPr>
                <w:rFonts w:eastAsia="ＭＳ 明朝"/>
                <w:lang w:val="en-US"/>
              </w:rPr>
              <w:t>I</w:t>
            </w:r>
            <w:r>
              <w:rPr>
                <w:rFonts w:hint="eastAsia" w:eastAsia="ＭＳ 明朝"/>
                <w:lang w:val="en-US"/>
              </w:rPr>
              <w:t xml:space="preserve"> understand there may be ongoing discussion in maintenance in terms of RAN1 spec. Depending on the discussion there may be a need for RAN1 FG; however, right now </w:t>
            </w:r>
            <w:r>
              <w:rPr>
                <w:rFonts w:eastAsia="ＭＳ 明朝"/>
                <w:lang w:val="en-US"/>
              </w:rPr>
              <w:t>I</w:t>
            </w:r>
            <w:r>
              <w:rPr>
                <w:rFonts w:hint="eastAsia" w:eastAsia="ＭＳ 明朝"/>
                <w:lang w:val="en-US"/>
              </w:rPr>
              <w:t xml:space="preserve"> understand nothing has been agreed. </w:t>
            </w:r>
          </w:p>
          <w:p>
            <w:pPr>
              <w:pStyle w:val="31"/>
              <w:numPr>
                <w:ilvl w:val="0"/>
                <w:numId w:val="7"/>
              </w:numPr>
              <w:ind w:leftChars="0"/>
              <w:textAlignment w:val="baseline"/>
              <w:rPr>
                <w:rFonts w:eastAsia="ＭＳ 明朝"/>
                <w:lang w:val="en-US"/>
              </w:rPr>
            </w:pPr>
            <w:r>
              <w:rPr>
                <w:rFonts w:eastAsia="ＭＳ 明朝"/>
                <w:lang w:val="en-US"/>
              </w:rPr>
              <w:t>F</w:t>
            </w:r>
            <w:r>
              <w:rPr>
                <w:rFonts w:hint="eastAsia" w:eastAsia="ＭＳ 明朝"/>
                <w:lang w:val="en-US"/>
              </w:rPr>
              <w:t xml:space="preserve">or additional processing time, it also needs RAN1 spec first. </w:t>
            </w:r>
          </w:p>
          <w:p>
            <w:pPr>
              <w:textAlignment w:val="baseline"/>
              <w:rPr>
                <w:rFonts w:eastAsia="ＭＳ 明朝"/>
                <w:lang w:val="en-US"/>
              </w:rPr>
            </w:pPr>
            <w:r>
              <w:rPr>
                <w:rFonts w:eastAsia="ＭＳ 明朝"/>
                <w:lang w:val="en-US"/>
              </w:rPr>
              <w:t>G</w:t>
            </w:r>
            <w:r>
              <w:rPr>
                <w:rFonts w:hint="eastAsia" w:eastAsia="ＭＳ 明朝"/>
                <w:lang w:val="en-US"/>
              </w:rPr>
              <w:t xml:space="preserve">iven above, what to </w:t>
            </w:r>
            <w:r>
              <w:rPr>
                <w:rFonts w:eastAsia="ＭＳ 明朝"/>
                <w:lang w:val="en-US"/>
              </w:rPr>
              <w:t>capture</w:t>
            </w:r>
            <w:r>
              <w:rPr>
                <w:rFonts w:hint="eastAsia" w:eastAsia="ＭＳ 明朝"/>
                <w:lang w:val="en-US"/>
              </w:rPr>
              <w:t xml:space="preserve"> in RAN1 FG is not very clear to me, which result in the question above. </w:t>
            </w:r>
          </w:p>
          <w:p>
            <w:pPr>
              <w:textAlignment w:val="baseline"/>
              <w:rPr>
                <w:rFonts w:eastAsia="ＭＳ 明朝"/>
                <w:lang w:val="en-US"/>
              </w:rPr>
            </w:pPr>
          </w:p>
          <w:p>
            <w:pPr>
              <w:textAlignment w:val="baseline"/>
              <w:rPr>
                <w:rFonts w:eastAsia="ＭＳ 明朝"/>
                <w:lang w:val="en-US"/>
              </w:rPr>
            </w:pPr>
            <w:r>
              <w:rPr>
                <w:rFonts w:hint="eastAsia" w:eastAsia="ＭＳ 明朝"/>
                <w:lang w:val="en-US"/>
              </w:rPr>
              <w:t>Please also note that based on the current schedule, the 1</w:t>
            </w:r>
            <w:r>
              <w:rPr>
                <w:rFonts w:hint="eastAsia" w:eastAsia="ＭＳ 明朝"/>
                <w:vertAlign w:val="superscript"/>
                <w:lang w:val="en-US"/>
              </w:rPr>
              <w:t>st</w:t>
            </w:r>
            <w:r>
              <w:rPr>
                <w:rFonts w:hint="eastAsia" w:eastAsia="ＭＳ 明朝"/>
                <w:lang w:val="en-US"/>
              </w:rPr>
              <w:t xml:space="preserve"> online session for LBCA UE feature is planned prior to the 1</w:t>
            </w:r>
            <w:r>
              <w:rPr>
                <w:rFonts w:hint="eastAsia" w:eastAsia="ＭＳ 明朝"/>
                <w:vertAlign w:val="superscript"/>
                <w:lang w:val="en-US"/>
              </w:rPr>
              <w:t>st</w:t>
            </w:r>
            <w:r>
              <w:rPr>
                <w:rFonts w:hint="eastAsia" w:eastAsia="ＭＳ 明朝"/>
                <w:lang w:val="en-US"/>
              </w:rPr>
              <w:t xml:space="preserve"> online for multi-carrier maintenance. </w:t>
            </w:r>
            <w:r>
              <w:rPr>
                <w:rFonts w:eastAsia="ＭＳ 明朝"/>
                <w:lang w:val="en-US"/>
              </w:rPr>
              <w:t>T</w:t>
            </w:r>
            <w:r>
              <w:rPr>
                <w:rFonts w:hint="eastAsia" w:eastAsia="ＭＳ 明朝"/>
                <w:lang w:val="en-US"/>
              </w:rPr>
              <w:t xml:space="preserve">herefore, in our first UEF online (if any), </w:t>
            </w:r>
            <w:r>
              <w:rPr>
                <w:rFonts w:eastAsia="ＭＳ 明朝"/>
                <w:lang w:val="en-US"/>
              </w:rPr>
              <w:t>I</w:t>
            </w:r>
            <w:r>
              <w:rPr>
                <w:rFonts w:hint="eastAsia" w:eastAsia="ＭＳ 明朝"/>
                <w:lang w:val="en-US"/>
              </w:rPr>
              <w:t xml:space="preserve"> plan to focus on checking the need of potential components that </w:t>
            </w:r>
            <w:r>
              <w:rPr>
                <w:rFonts w:eastAsia="ＭＳ 明朝"/>
                <w:lang w:val="en-US"/>
              </w:rPr>
              <w:t>don’t</w:t>
            </w:r>
            <w:r>
              <w:rPr>
                <w:rFonts w:hint="eastAsia" w:eastAsia="ＭＳ 明朝"/>
                <w:lang w:val="en-US"/>
              </w:rPr>
              <w:t xml:space="preserve"> need any maintenance agreements, that is </w:t>
            </w:r>
            <w:r>
              <w:rPr>
                <w:rFonts w:hint="eastAsia" w:eastAsia="ＭＳ 明朝"/>
                <w:highlight w:val="yellow"/>
                <w:lang w:val="en-US"/>
              </w:rPr>
              <w:t>highlighted</w:t>
            </w:r>
            <w:r>
              <w:rPr>
                <w:rFonts w:hint="eastAsia" w:eastAsia="ＭＳ 明朝"/>
                <w:lang w:val="en-US"/>
              </w:rPr>
              <w:t xml:space="preserve"> above. </w:t>
            </w:r>
            <w:r>
              <w:rPr>
                <w:rFonts w:eastAsia="ＭＳ 明朝"/>
                <w:lang w:val="en-US"/>
              </w:rPr>
              <w:t>F</w:t>
            </w:r>
            <w:r>
              <w:rPr>
                <w:rFonts w:hint="eastAsia" w:eastAsia="ＭＳ 明朝"/>
                <w:lang w:val="en-US"/>
              </w:rPr>
              <w:t xml:space="preserve">or non-highlighted parts, since it seems there will be a discussion in maintenance, </w:t>
            </w:r>
            <w:r>
              <w:rPr>
                <w:rFonts w:eastAsia="ＭＳ 明朝"/>
                <w:lang w:val="en-US"/>
              </w:rPr>
              <w:t>I</w:t>
            </w:r>
            <w:r>
              <w:rPr>
                <w:rFonts w:hint="eastAsia" w:eastAsia="ＭＳ 明朝"/>
                <w:lang w:val="en-US"/>
              </w:rPr>
              <w:t xml:space="preserve"> think UEF discussion for them </w:t>
            </w:r>
            <w:r>
              <w:rPr>
                <w:rFonts w:eastAsia="ＭＳ 明朝"/>
                <w:lang w:val="en-US"/>
              </w:rPr>
              <w:t>should</w:t>
            </w:r>
            <w:r>
              <w:rPr>
                <w:rFonts w:hint="eastAsia" w:eastAsia="ＭＳ 明朝"/>
                <w:lang w:val="en-US"/>
              </w:rPr>
              <w:t xml:space="preserve"> be pending.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textAlignment w:val="baseline"/>
              <w:rPr>
                <w:rFonts w:eastAsia="ＭＳ 明朝"/>
                <w:lang w:val="en-US"/>
              </w:rPr>
            </w:pPr>
            <w:r>
              <w:rPr>
                <w:rFonts w:hint="eastAsia" w:eastAsia="ＭＳ 明朝"/>
                <w:lang w:val="en-US"/>
              </w:rPr>
              <w:t>DOCOMO</w:t>
            </w:r>
          </w:p>
        </w:tc>
        <w:tc>
          <w:tcPr>
            <w:tcW w:w="20687" w:type="dxa"/>
          </w:tcPr>
          <w:p>
            <w:pPr>
              <w:textAlignment w:val="baseline"/>
              <w:rPr>
                <w:rFonts w:eastAsia="ＭＳ 明朝"/>
                <w:lang w:val="en-US"/>
              </w:rPr>
            </w:pPr>
            <w:r>
              <w:rPr>
                <w:rFonts w:hint="eastAsia" w:eastAsia="ＭＳ 明朝"/>
                <w:lang w:val="en-US"/>
              </w:rPr>
              <w:t>Q1-1: we don</w:t>
            </w:r>
            <w:r>
              <w:rPr>
                <w:rFonts w:eastAsia="ＭＳ 明朝"/>
                <w:lang w:val="en-US"/>
              </w:rPr>
              <w:t>’</w:t>
            </w:r>
            <w:r>
              <w:rPr>
                <w:rFonts w:hint="eastAsia" w:eastAsia="ＭＳ 明朝"/>
                <w:lang w:val="en-US"/>
              </w:rPr>
              <w:t>t think RAN1 FG is necessary. RAN4 FG55-1 covers the support of LBCA via switching for a band pair in BC with corresponding switching period duration. RAN1 has not made any agreement requiring additional reporting on top of RAN4 FG55-1 so far.</w:t>
            </w:r>
          </w:p>
          <w:p>
            <w:pPr>
              <w:textAlignment w:val="baseline"/>
              <w:rPr>
                <w:rFonts w:eastAsia="ＭＳ 明朝"/>
                <w:lang w:val="en-US"/>
              </w:rPr>
            </w:pPr>
            <w:r>
              <w:rPr>
                <w:rFonts w:hint="eastAsia" w:eastAsia="ＭＳ 明朝"/>
                <w:lang w:val="en-US"/>
              </w:rPr>
              <w:t>Q1-2: we share the same understanding with moderator that at least yellow highlighted options (1, 5, 6) do not need to be reported on top of the support of LBCA via switching. We are ok to wait for 8.12.2 discussion outcome to discuss other options.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textAlignment w:val="baseline"/>
              <w:rPr>
                <w:rFonts w:eastAsia="ＭＳ 明朝"/>
                <w:lang w:val="en-US"/>
              </w:rPr>
            </w:pPr>
            <w:r>
              <w:rPr>
                <w:rFonts w:eastAsia="ＭＳ 明朝"/>
                <w:lang w:val="en-US"/>
              </w:rPr>
              <w:t>Ericsson</w:t>
            </w:r>
          </w:p>
        </w:tc>
        <w:tc>
          <w:tcPr>
            <w:tcW w:w="20687" w:type="dxa"/>
          </w:tcPr>
          <w:p>
            <w:pPr>
              <w:textAlignment w:val="baseline"/>
              <w:rPr>
                <w:rFonts w:eastAsia="ＭＳ 明朝"/>
                <w:lang w:val="en-US"/>
              </w:rPr>
            </w:pPr>
            <w:r>
              <w:rPr>
                <w:rFonts w:eastAsia="ＭＳ 明朝"/>
                <w:lang w:val="en-US"/>
              </w:rPr>
              <w:t xml:space="preserve">We agree with the moderator’s assessment that RAN4 FG 55-1 is the basic one, and that motivation for a RAN1 FG is not clear. Regarding the </w:t>
            </w:r>
            <w:r>
              <w:rPr>
                <w:rFonts w:eastAsia="ＭＳ 明朝"/>
                <w:highlight w:val="yellow"/>
                <w:lang w:val="en-US"/>
              </w:rPr>
              <w:t>1</w:t>
            </w:r>
            <w:r>
              <w:rPr>
                <w:rFonts w:eastAsia="ＭＳ 明朝"/>
                <w:highlight w:val="yellow"/>
                <w:vertAlign w:val="superscript"/>
                <w:lang w:val="en-US"/>
              </w:rPr>
              <w:t>st</w:t>
            </w:r>
            <w:r>
              <w:rPr>
                <w:rFonts w:eastAsia="ＭＳ 明朝"/>
                <w:highlight w:val="yellow"/>
                <w:lang w:val="en-US"/>
              </w:rPr>
              <w:t xml:space="preserve"> and 3</w:t>
            </w:r>
            <w:r>
              <w:rPr>
                <w:rFonts w:eastAsia="ＭＳ 明朝"/>
                <w:highlight w:val="yellow"/>
                <w:vertAlign w:val="superscript"/>
                <w:lang w:val="en-US"/>
              </w:rPr>
              <w:t>rd</w:t>
            </w:r>
            <w:r>
              <w:rPr>
                <w:rFonts w:eastAsia="ＭＳ 明朝"/>
                <w:highlight w:val="yellow"/>
                <w:lang w:val="en-US"/>
              </w:rPr>
              <w:t xml:space="preserve"> highlighted</w:t>
            </w:r>
            <w:r>
              <w:rPr>
                <w:rFonts w:eastAsia="ＭＳ 明朝"/>
                <w:lang w:val="en-US"/>
              </w:rPr>
              <w:t xml:space="preserve"> items, we don’t see why these items would require a RAN1 FG; they are just part of the feature definition which is already captured in RAN1 specs. We don’t see why an FG would be needed if all it does is repeat the feature specification. For the </w:t>
            </w:r>
            <w:r>
              <w:rPr>
                <w:rFonts w:eastAsia="ＭＳ 明朝"/>
                <w:highlight w:val="yellow"/>
                <w:lang w:val="en-US"/>
              </w:rPr>
              <w:t>2</w:t>
            </w:r>
            <w:r>
              <w:rPr>
                <w:rFonts w:eastAsia="ＭＳ 明朝"/>
                <w:highlight w:val="yellow"/>
                <w:vertAlign w:val="superscript"/>
                <w:lang w:val="en-US"/>
              </w:rPr>
              <w:t>nd</w:t>
            </w:r>
            <w:r>
              <w:rPr>
                <w:rFonts w:eastAsia="ＭＳ 明朝"/>
                <w:highlight w:val="yellow"/>
                <w:lang w:val="en-US"/>
              </w:rPr>
              <w:t xml:space="preserve"> highlighted</w:t>
            </w:r>
            <w:r>
              <w:rPr>
                <w:rFonts w:eastAsia="ＭＳ 明朝"/>
                <w:lang w:val="en-US"/>
              </w:rPr>
              <w:t xml:space="preserve"> item, clearly these are captured already in RAN4 FG 55-1, so no need to repeat in a RAN1 FG.</w:t>
            </w:r>
          </w:p>
          <w:p>
            <w:pPr>
              <w:textAlignment w:val="baseline"/>
              <w:rPr>
                <w:rFonts w:eastAsia="ＭＳ 明朝"/>
                <w:lang w:val="en-US"/>
              </w:rPr>
            </w:pPr>
            <w:r>
              <w:rPr>
                <w:rFonts w:eastAsia="ＭＳ 明朝"/>
                <w:lang w:val="en-US"/>
              </w:rPr>
              <w:t>Regarding the non-highlighted items, agree with the moderator that there is a dependence on the discussion in the maintenance session, hence no need to treat this in UE Features until these items are concluded. Our preference is that none of the highlighted items should be supported in maintenance.</w:t>
            </w:r>
          </w:p>
          <w:p>
            <w:pPr>
              <w:textAlignment w:val="baseline"/>
              <w:rPr>
                <w:rFonts w:eastAsia="ＭＳ 明朝"/>
                <w:lang w:val="en-US"/>
              </w:rPr>
            </w:pPr>
            <w:r>
              <w:rPr>
                <w:rFonts w:eastAsia="ＭＳ 明朝"/>
                <w:lang w:val="en-US"/>
              </w:rPr>
              <w:t>In summary, for Q1-1, we support Alt-1.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textAlignment w:val="baseline"/>
              <w:rPr>
                <w:rFonts w:eastAsia="ＭＳ 明朝"/>
                <w:lang w:val="en-US"/>
              </w:rPr>
            </w:pPr>
            <w:r>
              <w:rPr>
                <w:rFonts w:eastAsia="ＭＳ 明朝"/>
                <w:lang w:val="en-US"/>
              </w:rPr>
              <w:t>MediaTek</w:t>
            </w:r>
          </w:p>
        </w:tc>
        <w:tc>
          <w:tcPr>
            <w:tcW w:w="20687" w:type="dxa"/>
          </w:tcPr>
          <w:p>
            <w:pPr>
              <w:textAlignment w:val="baseline"/>
              <w:rPr>
                <w:rFonts w:eastAsia="ＭＳ 明朝"/>
                <w:lang w:val="en-US"/>
              </w:rPr>
            </w:pPr>
            <w:r>
              <w:rPr>
                <w:rFonts w:eastAsia="ＭＳ 明朝"/>
                <w:lang w:val="en-US"/>
              </w:rPr>
              <w:t xml:space="preserve">Many features have a so-called “basic” feature group to list (conditionally) mandatory components for UE to support if it wants to indicate the support of this feature. We were thinking for LBCA, we could do the same in RAN1. On the other hand, in RAN1, we did not introduce more options than needed. In this case, we are fine with Alt-1 for Q1-1.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textAlignment w:val="baseline"/>
              <w:rPr>
                <w:rFonts w:eastAsia="宋体"/>
                <w:lang w:val="en-US" w:eastAsia="zh-CN"/>
              </w:rPr>
            </w:pPr>
            <w:r>
              <w:rPr>
                <w:rFonts w:hint="eastAsia" w:eastAsia="宋体"/>
                <w:lang w:val="en-US" w:eastAsia="zh-CN"/>
              </w:rPr>
              <w:t>ZTE</w:t>
            </w:r>
          </w:p>
        </w:tc>
        <w:tc>
          <w:tcPr>
            <w:tcW w:w="20687" w:type="dxa"/>
          </w:tcPr>
          <w:p>
            <w:pPr>
              <w:textAlignment w:val="baseline"/>
              <w:rPr>
                <w:rFonts w:eastAsia="宋体"/>
                <w:lang w:val="en-US" w:eastAsia="zh-CN"/>
              </w:rPr>
            </w:pPr>
            <w:r>
              <w:rPr>
                <w:rFonts w:hint="eastAsia" w:eastAsia="宋体"/>
                <w:lang w:val="en-US" w:eastAsia="zh-CN"/>
              </w:rPr>
              <w:t>Fine with the moderator</w:t>
            </w:r>
            <w:r>
              <w:rPr>
                <w:rFonts w:eastAsia="宋体"/>
                <w:lang w:val="en-US" w:eastAsia="zh-CN"/>
              </w:rPr>
              <w:t>’</w:t>
            </w:r>
            <w:r>
              <w:rPr>
                <w:rFonts w:hint="eastAsia" w:eastAsia="宋体"/>
                <w:lang w:val="en-US" w:eastAsia="zh-CN"/>
              </w:rPr>
              <w:t>s analysis. No need to introduce RAN1 FG based on the RAN1 agreements at least by now.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textAlignment w:val="baseline"/>
              <w:rPr>
                <w:rFonts w:eastAsia="宋体"/>
                <w:lang w:val="en-US" w:eastAsia="zh-CN"/>
              </w:rPr>
            </w:pPr>
            <w:r>
              <w:rPr>
                <w:rFonts w:hint="eastAsia" w:eastAsia="宋体"/>
                <w:lang w:val="en-US" w:eastAsia="zh-CN"/>
              </w:rPr>
              <w:t>v</w:t>
            </w:r>
            <w:r>
              <w:rPr>
                <w:rFonts w:eastAsia="宋体"/>
                <w:lang w:val="en-US" w:eastAsia="zh-CN"/>
              </w:rPr>
              <w:t>ivo</w:t>
            </w:r>
          </w:p>
        </w:tc>
        <w:tc>
          <w:tcPr>
            <w:tcW w:w="20687" w:type="dxa"/>
          </w:tcPr>
          <w:p>
            <w:pPr>
              <w:textAlignment w:val="baseline"/>
              <w:rPr>
                <w:rFonts w:eastAsia="宋体"/>
                <w:lang w:val="en-US" w:eastAsia="zh-CN"/>
              </w:rPr>
            </w:pPr>
            <w:r>
              <w:rPr>
                <w:rFonts w:eastAsia="宋体"/>
                <w:lang w:val="en-US" w:eastAsia="zh-CN"/>
              </w:rPr>
              <w:t>All the agreements in RAN1 are something basic for a UE to support this feature. From that perspective, Alt-1 is fine to us.</w:t>
            </w:r>
          </w:p>
        </w:tc>
      </w:tr>
    </w:tbl>
    <w:p/>
    <w:p>
      <w:pPr>
        <w:pStyle w:val="2"/>
      </w:pPr>
      <w:r>
        <w:t>Discussion</w:t>
      </w:r>
    </w:p>
    <w:p>
      <w:pPr>
        <w:rPr>
          <w:rFonts w:hint="default" w:eastAsia="宋体"/>
          <w:lang w:val="en-US" w:eastAsia="zh-CN"/>
        </w:rPr>
      </w:pPr>
      <w:r>
        <w:rPr>
          <w:rFonts w:hint="eastAsia"/>
          <w:lang w:val="en-US" w:eastAsia="zh-CN"/>
        </w:rPr>
        <w:t xml:space="preserve">According to the </w:t>
      </w:r>
      <w:r>
        <w:rPr>
          <w:rFonts w:hint="eastAsia"/>
          <w:lang w:val="en-US" w:eastAsia="en-GB"/>
        </w:rPr>
        <w:t>LS on Rel-19 RAN4 UE feature list for NR</w:t>
      </w:r>
      <w:r>
        <w:rPr>
          <w:rFonts w:hint="eastAsia"/>
          <w:lang w:val="en-US" w:eastAsia="zh-CN"/>
        </w:rPr>
        <w:t xml:space="preserve"> [2], FG 55 </w:t>
      </w:r>
      <w:r>
        <w:rPr>
          <w:rFonts w:hint="eastAsia"/>
          <w:lang w:val="en-US" w:eastAsia="en-US"/>
        </w:rPr>
        <w:t>NR_LBCA_S</w:t>
      </w:r>
      <w:r>
        <w:rPr>
          <w:rFonts w:hint="eastAsia"/>
          <w:lang w:val="en-US" w:eastAsia="en-GB"/>
        </w:rPr>
        <w:t>W</w:t>
      </w:r>
      <w:r>
        <w:rPr>
          <w:rFonts w:hint="eastAsia"/>
          <w:lang w:val="en-US" w:eastAsia="zh-CN"/>
        </w:rPr>
        <w:t xml:space="preserve"> has been introduced including the basic function description that the </w:t>
      </w:r>
      <w:r>
        <w:rPr>
          <w:rFonts w:hint="eastAsia"/>
          <w:lang w:val="en-US" w:eastAsia="en-US"/>
        </w:rPr>
        <w:t xml:space="preserve">UE </w:t>
      </w:r>
      <w:r>
        <w:rPr>
          <w:rFonts w:hint="eastAsia"/>
          <w:lang w:val="en-US" w:eastAsia="zh-CN"/>
        </w:rPr>
        <w:t>can</w:t>
      </w:r>
      <w:r>
        <w:rPr>
          <w:rFonts w:hint="eastAsia"/>
          <w:lang w:val="en-US" w:eastAsia="en-US"/>
        </w:rPr>
        <w:t xml:space="preserve"> indicate support of LB-LB carrier aggregation via switching between an FDD band and SDL band.</w:t>
      </w:r>
      <w:r>
        <w:rPr>
          <w:rFonts w:hint="eastAsia"/>
          <w:lang w:val="en-US" w:eastAsia="en-GB"/>
        </w:rPr>
        <w:t xml:space="preserve"> </w:t>
      </w:r>
      <w:r>
        <w:rPr>
          <w:rFonts w:hint="eastAsia"/>
          <w:lang w:val="en-US" w:eastAsia="zh-CN"/>
        </w:rPr>
        <w:t xml:space="preserve"> The updates comprise two switching cases and an additional switching period.</w:t>
      </w:r>
    </w:p>
    <w:tbl>
      <w:tblPr>
        <w:tblStyle w:val="19"/>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0"/>
        <w:gridCol w:w="416"/>
        <w:gridCol w:w="825"/>
        <w:gridCol w:w="1782"/>
        <w:gridCol w:w="474"/>
        <w:gridCol w:w="449"/>
        <w:gridCol w:w="474"/>
        <w:gridCol w:w="924"/>
        <w:gridCol w:w="966"/>
        <w:gridCol w:w="221"/>
        <w:gridCol w:w="874"/>
        <w:gridCol w:w="221"/>
        <w:gridCol w:w="221"/>
        <w:gridCol w:w="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28" w:type="pct"/>
            <w:tcBorders>
              <w:top w:val="single" w:color="auto" w:sz="4" w:space="0"/>
              <w:left w:val="single" w:color="auto" w:sz="4" w:space="0"/>
              <w:bottom w:val="single" w:color="auto" w:sz="4" w:space="0"/>
              <w:right w:val="single" w:color="auto" w:sz="4" w:space="0"/>
            </w:tcBorders>
          </w:tcPr>
          <w:p>
            <w:pPr>
              <w:keepNext/>
              <w:keepLines/>
              <w:overflowPunct w:val="0"/>
              <w:textAlignment w:val="baseline"/>
              <w:rPr>
                <w:rFonts w:hint="default" w:ascii="Times New Roman" w:hAnsi="Times New Roman" w:cs="Times New Roman"/>
                <w:sz w:val="18"/>
              </w:rPr>
            </w:pPr>
            <w:r>
              <w:rPr>
                <w:rFonts w:hint="default" w:ascii="Times New Roman" w:hAnsi="Times New Roman" w:cs="Times New Roman"/>
                <w:sz w:val="18"/>
                <w:lang w:eastAsia="en-US"/>
              </w:rPr>
              <w:t>5</w:t>
            </w:r>
            <w:r>
              <w:rPr>
                <w:rFonts w:hint="default" w:ascii="Times New Roman" w:hAnsi="Times New Roman" w:cs="Times New Roman"/>
                <w:sz w:val="18"/>
              </w:rPr>
              <w:t>5</w:t>
            </w:r>
            <w:r>
              <w:rPr>
                <w:rFonts w:hint="default" w:ascii="Times New Roman" w:hAnsi="Times New Roman" w:cs="Times New Roman"/>
                <w:sz w:val="18"/>
                <w:lang w:eastAsia="en-US"/>
              </w:rPr>
              <w:t>. NR_LBCA_S</w:t>
            </w:r>
            <w:r>
              <w:rPr>
                <w:rFonts w:hint="default" w:ascii="Times New Roman" w:hAnsi="Times New Roman" w:cs="Times New Roman"/>
                <w:sz w:val="18"/>
              </w:rPr>
              <w:t>W</w:t>
            </w:r>
          </w:p>
        </w:tc>
        <w:tc>
          <w:tcPr>
            <w:tcW w:w="156" w:type="pct"/>
            <w:tcBorders>
              <w:top w:val="single" w:color="auto" w:sz="4" w:space="0"/>
              <w:left w:val="single" w:color="auto" w:sz="4" w:space="0"/>
              <w:bottom w:val="single" w:color="auto" w:sz="4" w:space="0"/>
              <w:right w:val="single" w:color="auto" w:sz="4" w:space="0"/>
            </w:tcBorders>
          </w:tcPr>
          <w:p>
            <w:pPr>
              <w:keepNext/>
              <w:keepLines/>
              <w:overflowPunct w:val="0"/>
              <w:jc w:val="center"/>
              <w:textAlignment w:val="baseline"/>
              <w:rPr>
                <w:rFonts w:hint="default" w:ascii="Times New Roman" w:hAnsi="Times New Roman" w:cs="Times New Roman"/>
                <w:sz w:val="18"/>
                <w:lang w:eastAsia="en-US"/>
              </w:rPr>
            </w:pPr>
            <w:r>
              <w:rPr>
                <w:rFonts w:hint="default" w:ascii="Times New Roman" w:hAnsi="Times New Roman" w:cs="Times New Roman"/>
                <w:sz w:val="18"/>
                <w:lang w:eastAsia="en-US"/>
              </w:rPr>
              <w:t>5</w:t>
            </w:r>
            <w:r>
              <w:rPr>
                <w:rFonts w:hint="default" w:ascii="Times New Roman" w:hAnsi="Times New Roman" w:cs="Times New Roman"/>
                <w:sz w:val="18"/>
              </w:rPr>
              <w:t>5</w:t>
            </w:r>
            <w:r>
              <w:rPr>
                <w:rFonts w:hint="default" w:ascii="Times New Roman" w:hAnsi="Times New Roman" w:cs="Times New Roman"/>
                <w:sz w:val="18"/>
                <w:lang w:eastAsia="en-US"/>
              </w:rPr>
              <w:t>-1</w:t>
            </w:r>
          </w:p>
        </w:tc>
        <w:tc>
          <w:tcPr>
            <w:tcW w:w="307" w:type="pct"/>
            <w:tcBorders>
              <w:top w:val="single" w:color="auto" w:sz="4" w:space="0"/>
              <w:left w:val="single" w:color="auto" w:sz="4" w:space="0"/>
              <w:bottom w:val="single" w:color="auto" w:sz="4" w:space="0"/>
              <w:right w:val="single" w:color="auto" w:sz="4" w:space="0"/>
            </w:tcBorders>
          </w:tcPr>
          <w:p>
            <w:pPr>
              <w:keepNext/>
              <w:keepLines/>
              <w:overflowPunct w:val="0"/>
              <w:jc w:val="center"/>
              <w:textAlignment w:val="baseline"/>
              <w:rPr>
                <w:rFonts w:hint="default" w:ascii="Times New Roman" w:hAnsi="Times New Roman" w:cs="Times New Roman"/>
                <w:sz w:val="18"/>
                <w:lang w:eastAsia="en-US"/>
              </w:rPr>
            </w:pPr>
            <w:r>
              <w:rPr>
                <w:rFonts w:hint="default" w:ascii="Times New Roman" w:hAnsi="Times New Roman" w:cs="Times New Roman"/>
                <w:color w:val="000000"/>
                <w:sz w:val="18"/>
                <w:lang w:eastAsia="en-US"/>
              </w:rPr>
              <w:t>Switching period for  switching between a LB FDD band and an SDL band</w:t>
            </w:r>
          </w:p>
        </w:tc>
        <w:tc>
          <w:tcPr>
            <w:tcW w:w="812" w:type="pct"/>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topLinePunct w:val="0"/>
              <w:bidi w:val="0"/>
              <w:snapToGrid w:val="0"/>
              <w:spacing w:after="0"/>
              <w:rPr>
                <w:rFonts w:hint="default" w:ascii="Times New Roman" w:hAnsi="Times New Roman" w:cs="Times New Roman"/>
                <w:color w:val="000000"/>
                <w:sz w:val="18"/>
                <w:szCs w:val="18"/>
                <w:highlight w:val="none"/>
                <w:lang w:eastAsia="en-US"/>
              </w:rPr>
            </w:pPr>
            <w:r>
              <w:rPr>
                <w:rFonts w:hint="default" w:ascii="Times New Roman" w:hAnsi="Times New Roman" w:cs="Times New Roman"/>
                <w:color w:val="000000"/>
                <w:sz w:val="18"/>
                <w:szCs w:val="18"/>
                <w:highlight w:val="none"/>
                <w:lang w:eastAsia="en-US"/>
              </w:rPr>
              <w:t>UE to indicate support of LB-LB carrier aggregation via switching between an FDD band (case 1) and SDL band (case 2)</w:t>
            </w:r>
            <w:r>
              <w:rPr>
                <w:rFonts w:hint="default" w:ascii="Times New Roman" w:hAnsi="Times New Roman" w:cs="Times New Roman"/>
                <w:color w:val="000000"/>
                <w:sz w:val="18"/>
                <w:szCs w:val="18"/>
                <w:highlight w:val="none"/>
              </w:rPr>
              <w:t>:</w:t>
            </w:r>
          </w:p>
          <w:p>
            <w:pPr>
              <w:pStyle w:val="45"/>
              <w:pageBreakBefore w:val="0"/>
              <w:widowControl/>
              <w:kinsoku/>
              <w:wordWrap/>
              <w:topLinePunct w:val="0"/>
              <w:bidi w:val="0"/>
              <w:snapToGrid w:val="0"/>
              <w:spacing w:after="0"/>
              <w:ind w:left="172" w:leftChars="-56"/>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ab/>
            </w:r>
            <w:r>
              <w:rPr>
                <w:rFonts w:hint="default" w:ascii="Times New Roman" w:hAnsi="Times New Roman" w:cs="Times New Roman"/>
                <w:sz w:val="18"/>
                <w:szCs w:val="18"/>
                <w:highlight w:val="none"/>
              </w:rPr>
              <w:t>Case 1: Tx/Rx on FDD carrier 1 and no Rx on SDL carrier 2</w:t>
            </w:r>
          </w:p>
          <w:p>
            <w:pPr>
              <w:pStyle w:val="45"/>
              <w:pageBreakBefore w:val="0"/>
              <w:widowControl/>
              <w:kinsoku/>
              <w:wordWrap/>
              <w:topLinePunct w:val="0"/>
              <w:bidi w:val="0"/>
              <w:snapToGrid w:val="0"/>
              <w:spacing w:after="0"/>
              <w:ind w:left="172" w:leftChars="-56"/>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w:t>
            </w:r>
            <w:r>
              <w:rPr>
                <w:rFonts w:hint="default" w:ascii="Times New Roman" w:hAnsi="Times New Roman" w:cs="Times New Roman"/>
                <w:sz w:val="18"/>
                <w:szCs w:val="18"/>
                <w:highlight w:val="none"/>
              </w:rPr>
              <w:tab/>
            </w:r>
            <w:r>
              <w:rPr>
                <w:rFonts w:hint="default" w:ascii="Times New Roman" w:hAnsi="Times New Roman" w:cs="Times New Roman"/>
                <w:sz w:val="18"/>
                <w:szCs w:val="18"/>
                <w:highlight w:val="none"/>
              </w:rPr>
              <w:t>Case 2: Rx on SDL carrier 2 and no Tx/Rx on FDD carrier 1</w:t>
            </w:r>
          </w:p>
          <w:p>
            <w:pPr>
              <w:keepNext/>
              <w:keepLines/>
              <w:pageBreakBefore w:val="0"/>
              <w:widowControl/>
              <w:kinsoku/>
              <w:wordWrap/>
              <w:topLinePunct w:val="0"/>
              <w:bidi w:val="0"/>
              <w:snapToGrid w:val="0"/>
              <w:spacing w:after="0"/>
              <w:rPr>
                <w:rFonts w:hint="default" w:ascii="Times New Roman" w:hAnsi="Times New Roman" w:cs="Times New Roman"/>
                <w:color w:val="000000"/>
                <w:sz w:val="18"/>
                <w:szCs w:val="18"/>
                <w:highlight w:val="none"/>
                <w:lang w:eastAsia="en-US"/>
              </w:rPr>
            </w:pPr>
          </w:p>
          <w:p>
            <w:pPr>
              <w:pageBreakBefore w:val="0"/>
              <w:widowControl/>
              <w:kinsoku/>
              <w:wordWrap/>
              <w:topLinePunct w:val="0"/>
              <w:bidi w:val="0"/>
              <w:snapToGrid w:val="0"/>
              <w:spacing w:after="0"/>
              <w:contextualSpacing/>
              <w:rPr>
                <w:rFonts w:hint="default" w:ascii="Times New Roman" w:hAnsi="Times New Roman" w:cs="Times New Roman"/>
                <w:sz w:val="18"/>
                <w:szCs w:val="18"/>
                <w:lang w:eastAsia="en-US"/>
              </w:rPr>
            </w:pPr>
            <w:r>
              <w:rPr>
                <w:rFonts w:hint="default" w:ascii="Times New Roman" w:hAnsi="Times New Roman" w:cs="Times New Roman"/>
                <w:i/>
                <w:color w:val="000000"/>
                <w:sz w:val="18"/>
                <w:szCs w:val="18"/>
                <w:highlight w:val="none"/>
                <w:lang w:eastAsia="en-US"/>
              </w:rPr>
              <w:t>switchingPeriodForFDD-SDL</w:t>
            </w:r>
            <w:r>
              <w:rPr>
                <w:rFonts w:hint="default" w:ascii="Times New Roman" w:hAnsi="Times New Roman" w:cs="Times New Roman"/>
                <w:color w:val="000000"/>
                <w:sz w:val="18"/>
                <w:szCs w:val="18"/>
                <w:highlight w:val="none"/>
                <w:lang w:eastAsia="en-US"/>
              </w:rPr>
              <w:t xml:space="preserve"> indicates the length of the switching time between {case1, case2}: 35us represents 35 us of switching time, 70us represents 70us of switching time,140us represents 140us of switching time, as specified in TS 38.101-1.</w:t>
            </w:r>
          </w:p>
        </w:tc>
        <w:tc>
          <w:tcPr>
            <w:tcW w:w="252" w:type="pct"/>
            <w:tcBorders>
              <w:top w:val="single" w:color="auto" w:sz="4" w:space="0"/>
              <w:left w:val="single" w:color="auto" w:sz="4" w:space="0"/>
              <w:bottom w:val="single" w:color="auto" w:sz="4" w:space="0"/>
              <w:right w:val="single" w:color="auto" w:sz="4" w:space="0"/>
            </w:tcBorders>
          </w:tcPr>
          <w:p>
            <w:pPr>
              <w:keepNext/>
              <w:keepLines/>
              <w:overflowPunct w:val="0"/>
              <w:jc w:val="center"/>
              <w:textAlignment w:val="baseline"/>
              <w:rPr>
                <w:rFonts w:hint="default" w:ascii="Times New Roman" w:hAnsi="Times New Roman" w:cs="Times New Roman"/>
                <w:sz w:val="18"/>
                <w:lang w:eastAsia="en-US"/>
              </w:rPr>
            </w:pPr>
            <w:r>
              <w:rPr>
                <w:rFonts w:hint="default" w:ascii="Times New Roman" w:hAnsi="Times New Roman" w:cs="Times New Roman"/>
                <w:sz w:val="18"/>
                <w:lang w:eastAsia="en-US"/>
              </w:rPr>
              <w:t>N/A</w:t>
            </w:r>
          </w:p>
        </w:tc>
        <w:tc>
          <w:tcPr>
            <w:tcW w:w="284" w:type="pct"/>
            <w:tcBorders>
              <w:top w:val="single" w:color="auto" w:sz="4" w:space="0"/>
              <w:left w:val="single" w:color="auto" w:sz="4" w:space="0"/>
              <w:bottom w:val="single" w:color="auto" w:sz="4" w:space="0"/>
              <w:right w:val="single" w:color="auto" w:sz="4" w:space="0"/>
            </w:tcBorders>
          </w:tcPr>
          <w:p>
            <w:pPr>
              <w:keepNext/>
              <w:keepLines/>
              <w:overflowPunct w:val="0"/>
              <w:jc w:val="center"/>
              <w:textAlignment w:val="baseline"/>
              <w:rPr>
                <w:rFonts w:hint="default" w:ascii="Times New Roman" w:hAnsi="Times New Roman" w:cs="Times New Roman"/>
                <w:sz w:val="18"/>
                <w:lang w:eastAsia="en-US"/>
              </w:rPr>
            </w:pPr>
            <w:r>
              <w:rPr>
                <w:rFonts w:hint="default" w:ascii="Times New Roman" w:hAnsi="Times New Roman" w:cs="Times New Roman"/>
                <w:sz w:val="18"/>
                <w:lang w:eastAsia="en-US"/>
              </w:rPr>
              <w:t>Yes</w:t>
            </w:r>
          </w:p>
        </w:tc>
        <w:tc>
          <w:tcPr>
            <w:tcW w:w="316" w:type="pct"/>
            <w:tcBorders>
              <w:top w:val="single" w:color="auto" w:sz="4" w:space="0"/>
              <w:left w:val="single" w:color="auto" w:sz="4" w:space="0"/>
              <w:bottom w:val="single" w:color="auto" w:sz="4" w:space="0"/>
              <w:right w:val="single" w:color="auto" w:sz="4" w:space="0"/>
            </w:tcBorders>
          </w:tcPr>
          <w:p>
            <w:pPr>
              <w:keepNext/>
              <w:keepLines/>
              <w:overflowPunct w:val="0"/>
              <w:jc w:val="center"/>
              <w:textAlignment w:val="baseline"/>
              <w:rPr>
                <w:rFonts w:hint="default" w:ascii="Times New Roman" w:hAnsi="Times New Roman" w:cs="Times New Roman"/>
                <w:sz w:val="18"/>
                <w:lang w:eastAsia="en-US"/>
              </w:rPr>
            </w:pPr>
            <w:r>
              <w:rPr>
                <w:rFonts w:hint="default" w:ascii="Times New Roman" w:hAnsi="Times New Roman" w:cs="Times New Roman"/>
                <w:sz w:val="18"/>
                <w:lang w:eastAsia="en-US"/>
              </w:rPr>
              <w:t>N/A</w:t>
            </w:r>
          </w:p>
        </w:tc>
        <w:tc>
          <w:tcPr>
            <w:tcW w:w="284" w:type="pct"/>
            <w:tcBorders>
              <w:top w:val="single" w:color="auto" w:sz="4" w:space="0"/>
              <w:left w:val="single" w:color="auto" w:sz="4" w:space="0"/>
              <w:bottom w:val="single" w:color="auto" w:sz="4" w:space="0"/>
              <w:right w:val="single" w:color="auto" w:sz="4" w:space="0"/>
            </w:tcBorders>
          </w:tcPr>
          <w:p>
            <w:pPr>
              <w:keepNext/>
              <w:keepLines/>
              <w:rPr>
                <w:rFonts w:hint="default" w:ascii="Times New Roman" w:hAnsi="Times New Roman" w:cs="Times New Roman"/>
                <w:sz w:val="18"/>
                <w:lang w:eastAsia="en-US"/>
              </w:rPr>
            </w:pPr>
            <w:r>
              <w:rPr>
                <w:rFonts w:hint="default" w:ascii="Times New Roman" w:hAnsi="Times New Roman" w:cs="Times New Roman"/>
                <w:color w:val="000000"/>
                <w:sz w:val="18"/>
                <w:szCs w:val="18"/>
                <w:lang w:eastAsia="en-US"/>
              </w:rPr>
              <w:t>Operation of Carrier aggregation between FDD and SDL via switching is not supported.</w:t>
            </w:r>
          </w:p>
        </w:tc>
        <w:tc>
          <w:tcPr>
            <w:tcW w:w="329" w:type="pct"/>
            <w:tcBorders>
              <w:top w:val="single" w:color="auto" w:sz="4" w:space="0"/>
              <w:left w:val="single" w:color="auto" w:sz="4" w:space="0"/>
              <w:bottom w:val="single" w:color="auto" w:sz="4" w:space="0"/>
              <w:right w:val="single" w:color="auto" w:sz="4" w:space="0"/>
            </w:tcBorders>
          </w:tcPr>
          <w:p>
            <w:pPr>
              <w:keepNext/>
              <w:keepLines/>
              <w:rPr>
                <w:rFonts w:hint="default" w:ascii="Times New Roman" w:hAnsi="Times New Roman" w:cs="Times New Roman"/>
                <w:sz w:val="18"/>
                <w:lang w:eastAsia="en-US"/>
              </w:rPr>
            </w:pPr>
            <w:r>
              <w:rPr>
                <w:rFonts w:hint="default" w:ascii="Times New Roman" w:hAnsi="Times New Roman" w:cs="Times New Roman"/>
                <w:sz w:val="18"/>
                <w:szCs w:val="18"/>
                <w:lang w:eastAsia="en-US"/>
              </w:rPr>
              <w:t>Per band pair per band combination</w:t>
            </w:r>
          </w:p>
        </w:tc>
        <w:tc>
          <w:tcPr>
            <w:tcW w:w="316" w:type="pct"/>
            <w:tcBorders>
              <w:top w:val="single" w:color="auto" w:sz="4" w:space="0"/>
              <w:left w:val="single" w:color="auto" w:sz="4" w:space="0"/>
              <w:bottom w:val="single" w:color="auto" w:sz="4" w:space="0"/>
              <w:right w:val="single" w:color="auto" w:sz="4" w:space="0"/>
            </w:tcBorders>
          </w:tcPr>
          <w:p>
            <w:pPr>
              <w:keepNext/>
              <w:keepLines/>
              <w:overflowPunct w:val="0"/>
              <w:jc w:val="center"/>
              <w:textAlignment w:val="baseline"/>
              <w:rPr>
                <w:rFonts w:hint="default" w:ascii="Times New Roman" w:hAnsi="Times New Roman" w:cs="Times New Roman"/>
                <w:sz w:val="18"/>
                <w:lang w:eastAsia="en-US"/>
              </w:rPr>
            </w:pPr>
          </w:p>
        </w:tc>
        <w:tc>
          <w:tcPr>
            <w:tcW w:w="316" w:type="pct"/>
            <w:tcBorders>
              <w:top w:val="single" w:color="auto" w:sz="4" w:space="0"/>
              <w:left w:val="single" w:color="auto" w:sz="4" w:space="0"/>
              <w:bottom w:val="single" w:color="auto" w:sz="4" w:space="0"/>
              <w:right w:val="single" w:color="auto" w:sz="4" w:space="0"/>
            </w:tcBorders>
          </w:tcPr>
          <w:p>
            <w:pPr>
              <w:keepNext/>
              <w:keepLines/>
              <w:overflowPunct w:val="0"/>
              <w:jc w:val="center"/>
              <w:textAlignment w:val="baseline"/>
              <w:rPr>
                <w:rFonts w:hint="default" w:ascii="Times New Roman" w:hAnsi="Times New Roman" w:cs="Times New Roman"/>
                <w:sz w:val="18"/>
                <w:lang w:eastAsia="en-US"/>
              </w:rPr>
            </w:pPr>
            <w:r>
              <w:rPr>
                <w:rFonts w:hint="default" w:ascii="Times New Roman" w:hAnsi="Times New Roman" w:cs="Times New Roman"/>
                <w:sz w:val="18"/>
                <w:lang w:eastAsia="en-US"/>
              </w:rPr>
              <w:t>Applicable to FR1 only</w:t>
            </w:r>
          </w:p>
        </w:tc>
        <w:tc>
          <w:tcPr>
            <w:tcW w:w="369" w:type="pct"/>
            <w:tcBorders>
              <w:top w:val="single" w:color="auto" w:sz="4" w:space="0"/>
              <w:left w:val="single" w:color="auto" w:sz="4" w:space="0"/>
              <w:bottom w:val="single" w:color="auto" w:sz="4" w:space="0"/>
              <w:right w:val="single" w:color="auto" w:sz="4" w:space="0"/>
            </w:tcBorders>
          </w:tcPr>
          <w:p>
            <w:pPr>
              <w:keepNext/>
              <w:keepLines/>
              <w:overflowPunct w:val="0"/>
              <w:jc w:val="center"/>
              <w:textAlignment w:val="baseline"/>
              <w:rPr>
                <w:rFonts w:hint="default" w:ascii="Times New Roman" w:hAnsi="Times New Roman" w:cs="Times New Roman"/>
                <w:sz w:val="18"/>
                <w:lang w:eastAsia="en-US"/>
              </w:rPr>
            </w:pPr>
          </w:p>
        </w:tc>
        <w:tc>
          <w:tcPr>
            <w:tcW w:w="301" w:type="pct"/>
            <w:tcBorders>
              <w:top w:val="single" w:color="auto" w:sz="4" w:space="0"/>
              <w:left w:val="single" w:color="auto" w:sz="4" w:space="0"/>
              <w:bottom w:val="single" w:color="auto" w:sz="4" w:space="0"/>
              <w:right w:val="single" w:color="auto" w:sz="4" w:space="0"/>
            </w:tcBorders>
          </w:tcPr>
          <w:p>
            <w:pPr>
              <w:keepNext/>
              <w:keepLines/>
              <w:overflowPunct w:val="0"/>
              <w:jc w:val="center"/>
              <w:textAlignment w:val="baseline"/>
              <w:rPr>
                <w:rFonts w:hint="default" w:ascii="Times New Roman" w:hAnsi="Times New Roman" w:cs="Times New Roman"/>
                <w:sz w:val="18"/>
                <w:lang w:eastAsia="en-US"/>
              </w:rPr>
            </w:pPr>
          </w:p>
        </w:tc>
        <w:tc>
          <w:tcPr>
            <w:tcW w:w="425" w:type="pct"/>
            <w:tcBorders>
              <w:top w:val="single" w:color="auto" w:sz="4" w:space="0"/>
              <w:left w:val="single" w:color="auto" w:sz="4" w:space="0"/>
              <w:bottom w:val="single" w:color="auto" w:sz="4" w:space="0"/>
              <w:right w:val="single" w:color="auto" w:sz="4" w:space="0"/>
            </w:tcBorders>
          </w:tcPr>
          <w:p>
            <w:pPr>
              <w:keepNext/>
              <w:keepLines/>
              <w:overflowPunct w:val="0"/>
              <w:jc w:val="center"/>
              <w:textAlignment w:val="baseline"/>
              <w:rPr>
                <w:rFonts w:hint="default" w:ascii="Times New Roman" w:hAnsi="Times New Roman" w:cs="Times New Roman"/>
                <w:sz w:val="18"/>
                <w:lang w:eastAsia="en-US"/>
              </w:rPr>
            </w:pPr>
            <w:r>
              <w:rPr>
                <w:rFonts w:hint="default" w:ascii="Times New Roman" w:hAnsi="Times New Roman" w:cs="Times New Roman"/>
                <w:sz w:val="18"/>
                <w:lang w:eastAsia="en-US"/>
              </w:rPr>
              <w:t>Optional with capability signalling</w:t>
            </w:r>
          </w:p>
        </w:tc>
      </w:tr>
    </w:tbl>
    <w:p>
      <w:pPr>
        <w:keepNext w:val="0"/>
        <w:keepLines w:val="0"/>
        <w:pageBreakBefore w:val="0"/>
        <w:widowControl/>
        <w:kinsoku/>
        <w:wordWrap/>
        <w:overflowPunct/>
        <w:topLinePunct w:val="0"/>
        <w:autoSpaceDE/>
        <w:autoSpaceDN/>
        <w:bidi w:val="0"/>
        <w:adjustRightInd/>
        <w:snapToGrid/>
        <w:spacing w:before="0" w:beforeLines="50"/>
        <w:textAlignment w:val="auto"/>
        <w:rPr>
          <w:rFonts w:hint="default" w:ascii="Times New Roman" w:hAnsi="Times New Roman" w:cs="Times New Roman"/>
          <w:lang w:val="en-US" w:eastAsia="zh-CN"/>
        </w:rPr>
      </w:pPr>
      <w:r>
        <w:rPr>
          <w:rFonts w:hint="eastAsia"/>
          <w:lang w:val="en-US" w:eastAsia="zh-CN"/>
        </w:rPr>
        <w:t>Since the WI is led by RAN4, RAN1 should discuss whether there is any necessary RAN1 UE features based on RAN1 agreements. For the 6 options listed by moderator, option 1/5/6 has been already captured in the RAN1 spec and can be regarded as basic function for a UE support the feature. Therefore, there is no need to introduce RAN1 FG for the option 1/5/6. Furthermore, there is no agreement related to option 2/3/4. According to the agreements made in previous RAN1 meetings copied below, there is no need to introdu</w:t>
      </w:r>
      <w:r>
        <w:rPr>
          <w:rFonts w:hint="eastAsia" w:ascii="Times New Roman" w:hAnsi="Times New Roman" w:cs="Times New Roman"/>
          <w:lang w:val="en-US" w:eastAsia="zh-CN"/>
        </w:rPr>
        <w:t>ce RAN1 FG for Rel-19 low-band CA.</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78" w:type="dxa"/>
          </w:tcPr>
          <w:p>
            <w:pPr>
              <w:textAlignment w:val="baseline"/>
              <w:rPr>
                <w:rFonts w:eastAsia="等线"/>
                <w:highlight w:val="green"/>
                <w:lang w:eastAsia="zh-CN"/>
              </w:rPr>
            </w:pPr>
            <w:r>
              <w:rPr>
                <w:rFonts w:eastAsia="等线"/>
                <w:highlight w:val="green"/>
                <w:lang w:eastAsia="zh-CN"/>
              </w:rPr>
              <w:t>Agreement</w:t>
            </w:r>
          </w:p>
          <w:p>
            <w:pPr>
              <w:pStyle w:val="31"/>
              <w:numPr>
                <w:ilvl w:val="0"/>
                <w:numId w:val="8"/>
              </w:numPr>
              <w:spacing w:after="0"/>
              <w:ind w:left="0" w:leftChars="0" w:firstLine="400"/>
              <w:contextualSpacing/>
              <w:textAlignment w:val="baseline"/>
            </w:pPr>
            <w:r>
              <w:t>For Rel-19 low NR band carrier aggregation via switching, support only semi-static configuration of switching pattern to a UE based on UE-specific RRC configuration between the following two cases,</w:t>
            </w:r>
          </w:p>
          <w:p>
            <w:pPr>
              <w:pStyle w:val="31"/>
              <w:numPr>
                <w:ilvl w:val="1"/>
                <w:numId w:val="8"/>
              </w:numPr>
              <w:spacing w:after="0"/>
              <w:ind w:left="720" w:leftChars="0" w:firstLine="400"/>
              <w:contextualSpacing/>
              <w:textAlignment w:val="baseline"/>
              <w:rPr>
                <w:lang w:eastAsia="zh-CN"/>
              </w:rPr>
            </w:pPr>
            <w:r>
              <w:rPr>
                <w:lang w:eastAsia="zh-CN"/>
              </w:rPr>
              <w:t>Case 1: Tx/Rx on FDD carrier 1 and no Rx on SDL carrier 2</w:t>
            </w:r>
          </w:p>
          <w:p>
            <w:pPr>
              <w:pStyle w:val="31"/>
              <w:numPr>
                <w:ilvl w:val="1"/>
                <w:numId w:val="8"/>
              </w:numPr>
              <w:spacing w:after="0"/>
              <w:ind w:left="720" w:leftChars="0" w:firstLine="400"/>
              <w:contextualSpacing/>
              <w:textAlignment w:val="baseline"/>
              <w:rPr>
                <w:lang w:eastAsia="zh-CN"/>
              </w:rPr>
            </w:pPr>
            <w:r>
              <w:rPr>
                <w:lang w:eastAsia="zh-CN"/>
              </w:rPr>
              <w:t>Case 2: Rx on SDL carrier 2 and no Tx/Rx on FDD carrier 1</w:t>
            </w:r>
          </w:p>
          <w:p>
            <w:pPr>
              <w:pStyle w:val="31"/>
              <w:numPr>
                <w:ilvl w:val="0"/>
                <w:numId w:val="8"/>
              </w:numPr>
              <w:spacing w:after="0"/>
              <w:ind w:left="0" w:leftChars="0" w:firstLine="400"/>
              <w:contextualSpacing/>
              <w:textAlignment w:val="baseline"/>
            </w:pPr>
            <w:r>
              <w:t>FDD carrier 1 is PCell and SDL carrier 2 is SCell.</w:t>
            </w:r>
          </w:p>
          <w:p>
            <w:pPr>
              <w:pStyle w:val="31"/>
              <w:numPr>
                <w:ilvl w:val="0"/>
                <w:numId w:val="8"/>
              </w:numPr>
              <w:spacing w:after="0"/>
              <w:ind w:left="0" w:leftChars="0" w:firstLine="400"/>
              <w:contextualSpacing/>
              <w:textAlignment w:val="baseline"/>
              <w:rPr>
                <w:lang w:eastAsia="zh-CN"/>
              </w:rPr>
            </w:pPr>
            <w:r>
              <w:rPr>
                <w:lang w:eastAsia="zh-CN"/>
              </w:rPr>
              <w:t>SCS 15KHz on both carriers.</w:t>
            </w:r>
          </w:p>
          <w:p>
            <w:pPr>
              <w:textAlignment w:val="baseline"/>
              <w:rPr>
                <w:rFonts w:eastAsia="等线"/>
                <w:highlight w:val="green"/>
                <w:lang w:eastAsia="zh-CN"/>
              </w:rPr>
            </w:pPr>
          </w:p>
          <w:p>
            <w:pPr>
              <w:textAlignment w:val="baseline"/>
              <w:rPr>
                <w:rFonts w:eastAsia="等线"/>
                <w:highlight w:val="green"/>
                <w:lang w:eastAsia="zh-CN"/>
              </w:rPr>
            </w:pPr>
            <w:r>
              <w:rPr>
                <w:rFonts w:eastAsia="等线"/>
                <w:highlight w:val="green"/>
                <w:lang w:eastAsia="zh-CN"/>
              </w:rPr>
              <w:t>Agreement</w:t>
            </w:r>
          </w:p>
          <w:p>
            <w:pPr>
              <w:textAlignment w:val="baseline"/>
            </w:pPr>
            <w:r>
              <w:t>For RRC configuration of semi-static switching pattern in Rel-19 low NR band carrier aggregation via switching, it is not expected that the same slot (1ms) contains both symbol(s) configured as FDD carrier and symbol(s) configured as SDL carrier.</w:t>
            </w:r>
          </w:p>
          <w:p>
            <w:pPr>
              <w:textAlignment w:val="baseline"/>
              <w:rPr>
                <w:rFonts w:eastAsia="等线"/>
                <w:lang w:eastAsia="zh-CN"/>
              </w:rPr>
            </w:pPr>
          </w:p>
          <w:p>
            <w:pPr>
              <w:textAlignment w:val="baseline"/>
              <w:rPr>
                <w:rFonts w:eastAsia="等线"/>
                <w:highlight w:val="green"/>
                <w:lang w:eastAsia="zh-CN"/>
              </w:rPr>
            </w:pPr>
            <w:r>
              <w:rPr>
                <w:rFonts w:eastAsia="等线"/>
                <w:highlight w:val="green"/>
                <w:lang w:eastAsia="zh-CN"/>
              </w:rPr>
              <w:t>Agreement</w:t>
            </w:r>
          </w:p>
          <w:p>
            <w:pPr>
              <w:textAlignment w:val="baseline"/>
              <w:rPr>
                <w:rFonts w:eastAsia="等线"/>
                <w:lang w:eastAsia="zh-CN"/>
              </w:rPr>
            </w:pPr>
            <w:r>
              <w:t>For Rel-19 low NR band carrier aggregation via switching, the semi-static switching pattern and corresponding switching gap are based on the downlink timing (DL reception time at UE side) of Pcell</w:t>
            </w:r>
            <w:r>
              <w:rPr>
                <w:rFonts w:eastAsia="等线"/>
                <w:lang w:eastAsia="zh-CN"/>
              </w:rPr>
              <w:t>.</w:t>
            </w:r>
          </w:p>
          <w:p>
            <w:pPr>
              <w:textAlignment w:val="baseline"/>
              <w:rPr>
                <w:rFonts w:eastAsia="等线"/>
                <w:lang w:eastAsia="zh-CN"/>
              </w:rPr>
            </w:pPr>
          </w:p>
          <w:p>
            <w:pPr>
              <w:textAlignment w:val="baseline"/>
              <w:rPr>
                <w:rFonts w:eastAsia="等线"/>
                <w:highlight w:val="green"/>
                <w:lang w:eastAsia="zh-CN"/>
              </w:rPr>
            </w:pPr>
            <w:r>
              <w:rPr>
                <w:rFonts w:eastAsia="等线"/>
                <w:highlight w:val="green"/>
                <w:lang w:eastAsia="zh-CN"/>
              </w:rPr>
              <w:t>Agreement</w:t>
            </w:r>
          </w:p>
          <w:p>
            <w:pPr>
              <w:jc w:val="both"/>
              <w:textAlignment w:val="baseline"/>
              <w:rPr>
                <w:lang w:eastAsia="zh-CN"/>
              </w:rPr>
            </w:pPr>
            <w:r>
              <w:rPr>
                <w:lang w:eastAsia="zh-CN"/>
              </w:rPr>
              <w:t>For RRC configuration of semi-static switching pattern in Rel-19 low NR band carrier aggregation via switching, the time unit (resolution) of the semi-static switching pattern configuration is slot (1ms for 15kHz SCS).</w:t>
            </w:r>
          </w:p>
          <w:p>
            <w:pPr>
              <w:textAlignment w:val="baseline"/>
              <w:rPr>
                <w:rFonts w:eastAsia="等线"/>
                <w:highlight w:val="green"/>
                <w:lang w:eastAsia="zh-CN"/>
              </w:rPr>
            </w:pPr>
            <w:r>
              <w:rPr>
                <w:rFonts w:eastAsia="等线"/>
                <w:highlight w:val="green"/>
                <w:lang w:eastAsia="zh-CN"/>
              </w:rPr>
              <w:t>Agreement</w:t>
            </w:r>
          </w:p>
          <w:p>
            <w:pPr>
              <w:numPr>
                <w:ilvl w:val="0"/>
                <w:numId w:val="9"/>
              </w:numPr>
              <w:overflowPunct/>
              <w:autoSpaceDE/>
              <w:autoSpaceDN/>
              <w:adjustRightInd/>
              <w:spacing w:after="0"/>
              <w:contextualSpacing/>
              <w:textAlignment w:val="baseline"/>
              <w:rPr>
                <w:lang w:eastAsia="zh-CN"/>
              </w:rPr>
            </w:pPr>
            <w:r>
              <w:rPr>
                <w:lang w:eastAsia="zh-CN"/>
              </w:rPr>
              <w:t>For RRC configuration of semi-static switching pattern in Rel-19 low NR band carrier aggregation via switching, support bitmap design</w:t>
            </w:r>
          </w:p>
          <w:p>
            <w:pPr>
              <w:numPr>
                <w:ilvl w:val="1"/>
                <w:numId w:val="9"/>
              </w:numPr>
              <w:overflowPunct/>
              <w:autoSpaceDE/>
              <w:autoSpaceDN/>
              <w:adjustRightInd/>
              <w:spacing w:after="0"/>
              <w:contextualSpacing/>
              <w:textAlignment w:val="baseline"/>
              <w:rPr>
                <w:lang w:eastAsia="zh-CN"/>
              </w:rPr>
            </w:pPr>
            <w:r>
              <w:rPr>
                <w:lang w:eastAsia="zh-CN"/>
              </w:rPr>
              <w:t xml:space="preserve">NW configures a periodicity, denoted as </w:t>
            </w:r>
            <m:oMath>
              <m:r>
                <m:rPr>
                  <m:sty m:val="p"/>
                </m:rPr>
                <w:rPr>
                  <w:rFonts w:ascii="Cambria Math" w:hAnsi="Cambria Math"/>
                </w:rPr>
                <m:t>P</m:t>
              </m:r>
            </m:oMath>
            <w:r>
              <w:rPr>
                <w:lang w:eastAsia="zh-CN"/>
              </w:rPr>
              <w:t xml:space="preserve"> slots, and a bitmap of P bits. Each bit in the bitmap indicates which carrier is configured for the corresponding slot, ‘0’ indicates FDD carrier 1, and ‘1’ </w:t>
            </w:r>
            <w:r>
              <w:rPr>
                <w:color w:val="000000"/>
                <w:lang w:eastAsia="zh-CN"/>
              </w:rPr>
              <w:t>indicates SDL carrier 2.</w:t>
            </w:r>
          </w:p>
          <w:p>
            <w:pPr>
              <w:numPr>
                <w:ilvl w:val="1"/>
                <w:numId w:val="9"/>
              </w:numPr>
              <w:overflowPunct/>
              <w:autoSpaceDE/>
              <w:autoSpaceDN/>
              <w:adjustRightInd/>
              <w:spacing w:after="0"/>
              <w:contextualSpacing/>
              <w:textAlignment w:val="baseline"/>
              <w:rPr>
                <w:color w:val="000000"/>
                <w:lang w:eastAsia="zh-CN"/>
              </w:rPr>
            </w:pPr>
            <w:r>
              <w:rPr>
                <w:color w:val="000000"/>
                <w:lang w:eastAsia="zh-CN"/>
              </w:rPr>
              <w:t>The pattern starts from the beginning of SFN 0 of PCell.</w:t>
            </w:r>
          </w:p>
          <w:p>
            <w:pPr>
              <w:numPr>
                <w:ilvl w:val="0"/>
                <w:numId w:val="9"/>
              </w:numPr>
              <w:overflowPunct/>
              <w:autoSpaceDE/>
              <w:autoSpaceDN/>
              <w:adjustRightInd/>
              <w:spacing w:after="0"/>
              <w:contextualSpacing/>
              <w:textAlignment w:val="baseline"/>
              <w:rPr>
                <w:color w:val="000000"/>
                <w:lang w:eastAsia="zh-CN"/>
              </w:rPr>
            </w:pPr>
            <w:r>
              <w:rPr>
                <w:color w:val="000000"/>
                <w:lang w:eastAsia="zh-CN"/>
              </w:rPr>
              <w:t>Restriction of maximum X switch(es) within Y slot(s).</w:t>
            </w:r>
          </w:p>
          <w:p>
            <w:pPr>
              <w:numPr>
                <w:ilvl w:val="1"/>
                <w:numId w:val="9"/>
              </w:numPr>
              <w:overflowPunct/>
              <w:autoSpaceDE/>
              <w:autoSpaceDN/>
              <w:adjustRightInd/>
              <w:spacing w:after="0"/>
              <w:contextualSpacing/>
              <w:textAlignment w:val="baseline"/>
              <w:rPr>
                <w:color w:val="000000"/>
                <w:lang w:eastAsia="zh-CN"/>
              </w:rPr>
            </w:pPr>
            <w:r>
              <w:rPr>
                <w:color w:val="000000"/>
                <w:lang w:eastAsia="zh-CN"/>
              </w:rPr>
              <w:t>FFS: detailed value and relation of X and Y.</w:t>
            </w:r>
          </w:p>
          <w:p>
            <w:pPr>
              <w:numPr>
                <w:ilvl w:val="0"/>
                <w:numId w:val="9"/>
              </w:numPr>
              <w:overflowPunct/>
              <w:autoSpaceDE/>
              <w:autoSpaceDN/>
              <w:adjustRightInd/>
              <w:spacing w:after="0"/>
              <w:contextualSpacing/>
              <w:textAlignment w:val="baseline"/>
              <w:rPr>
                <w:color w:val="000000"/>
                <w:lang w:eastAsia="zh-CN"/>
              </w:rPr>
            </w:pPr>
            <w:r>
              <w:rPr>
                <w:color w:val="000000"/>
                <w:lang w:eastAsia="zh-CN"/>
              </w:rPr>
              <w:t>FFS: other restriction.</w:t>
            </w:r>
          </w:p>
          <w:p>
            <w:pPr>
              <w:textAlignment w:val="baseline"/>
              <w:rPr>
                <w:rFonts w:eastAsia="等线"/>
                <w:lang w:eastAsia="zh-CN"/>
              </w:rPr>
            </w:pPr>
          </w:p>
          <w:p>
            <w:pPr>
              <w:textAlignment w:val="baseline"/>
              <w:rPr>
                <w:rFonts w:eastAsia="等线"/>
                <w:highlight w:val="green"/>
                <w:lang w:eastAsia="zh-CN"/>
              </w:rPr>
            </w:pPr>
            <w:r>
              <w:rPr>
                <w:rFonts w:eastAsia="等线"/>
                <w:highlight w:val="green"/>
                <w:lang w:eastAsia="zh-CN"/>
              </w:rPr>
              <w:t>Agreement</w:t>
            </w:r>
          </w:p>
          <w:p>
            <w:pPr>
              <w:contextualSpacing/>
              <w:textAlignment w:val="baseline"/>
              <w:rPr>
                <w:color w:val="000000"/>
              </w:rPr>
            </w:pPr>
            <w:r>
              <w:rPr>
                <w:color w:val="000000"/>
              </w:rPr>
              <w:t xml:space="preserve">For RRC configuration of semi-static switching pattern in Rel-19 low NR band carrier aggregation via switching, regarding the location of the switching gap, </w:t>
            </w:r>
          </w:p>
          <w:p>
            <w:pPr>
              <w:numPr>
                <w:ilvl w:val="0"/>
                <w:numId w:val="10"/>
              </w:numPr>
              <w:overflowPunct/>
              <w:autoSpaceDE/>
              <w:autoSpaceDN/>
              <w:adjustRightInd/>
              <w:spacing w:after="0"/>
              <w:contextualSpacing/>
              <w:jc w:val="both"/>
              <w:textAlignment w:val="baseline"/>
              <w:rPr>
                <w:color w:val="000000"/>
                <w:lang w:eastAsia="zh-CN"/>
              </w:rPr>
            </w:pPr>
            <w:r>
              <w:rPr>
                <w:color w:val="000000"/>
                <w:lang w:eastAsia="zh-CN"/>
              </w:rPr>
              <w:t>For switching from SDL carrier to FDD carrier, the switching gap is always assumed at the “switch from” carrier, i.e., SDL carrier.</w:t>
            </w:r>
          </w:p>
          <w:p>
            <w:pPr>
              <w:numPr>
                <w:ilvl w:val="0"/>
                <w:numId w:val="10"/>
              </w:numPr>
              <w:overflowPunct/>
              <w:autoSpaceDE/>
              <w:autoSpaceDN/>
              <w:adjustRightInd/>
              <w:spacing w:after="0"/>
              <w:contextualSpacing/>
              <w:jc w:val="both"/>
              <w:textAlignment w:val="baseline"/>
              <w:rPr>
                <w:color w:val="000000"/>
                <w:lang w:eastAsia="zh-CN"/>
              </w:rPr>
            </w:pPr>
            <w:r>
              <w:rPr>
                <w:color w:val="000000"/>
                <w:lang w:eastAsia="zh-CN"/>
              </w:rPr>
              <w:t>For switching from FDD carrier to SDL carrier, down-select one of the following solutions:</w:t>
            </w:r>
          </w:p>
          <w:p>
            <w:pPr>
              <w:numPr>
                <w:ilvl w:val="1"/>
                <w:numId w:val="10"/>
              </w:numPr>
              <w:overflowPunct/>
              <w:autoSpaceDE/>
              <w:autoSpaceDN/>
              <w:adjustRightInd/>
              <w:spacing w:after="0"/>
              <w:contextualSpacing/>
              <w:jc w:val="both"/>
              <w:textAlignment w:val="baseline"/>
              <w:rPr>
                <w:color w:val="000000"/>
                <w:lang w:eastAsia="zh-CN"/>
              </w:rPr>
            </w:pPr>
            <w:r>
              <w:rPr>
                <w:color w:val="000000"/>
                <w:lang w:eastAsia="zh-CN"/>
              </w:rPr>
              <w:t>Alt 1: Switching gap is always assumed at the “switch from” carrier, i.e., FDD carrier.</w:t>
            </w:r>
          </w:p>
          <w:p>
            <w:pPr>
              <w:numPr>
                <w:ilvl w:val="1"/>
                <w:numId w:val="10"/>
              </w:numPr>
              <w:overflowPunct/>
              <w:autoSpaceDE/>
              <w:autoSpaceDN/>
              <w:adjustRightInd/>
              <w:spacing w:after="0"/>
              <w:contextualSpacing/>
              <w:jc w:val="both"/>
              <w:textAlignment w:val="baseline"/>
              <w:rPr>
                <w:color w:val="000000"/>
                <w:lang w:eastAsia="zh-CN"/>
              </w:rPr>
            </w:pPr>
            <w:r>
              <w:rPr>
                <w:color w:val="000000"/>
                <w:lang w:eastAsia="zh-CN"/>
              </w:rPr>
              <w:t>Alt 2: NW configures whether the switching gap is at the FDD carrier or SDL carrier.</w:t>
            </w:r>
          </w:p>
          <w:p>
            <w:pPr>
              <w:numPr>
                <w:ilvl w:val="1"/>
                <w:numId w:val="10"/>
              </w:numPr>
              <w:overflowPunct/>
              <w:autoSpaceDE/>
              <w:autoSpaceDN/>
              <w:adjustRightInd/>
              <w:spacing w:after="0"/>
              <w:contextualSpacing/>
              <w:jc w:val="both"/>
              <w:textAlignment w:val="baseline"/>
              <w:rPr>
                <w:color w:val="000000"/>
                <w:lang w:eastAsia="zh-CN"/>
              </w:rPr>
            </w:pPr>
            <w:r>
              <w:rPr>
                <w:color w:val="000000"/>
                <w:lang w:eastAsia="zh-CN"/>
              </w:rPr>
              <w:t>Alt 3: Switching gap is always assumed at the SDL carrier.</w:t>
            </w:r>
          </w:p>
          <w:p>
            <w:pPr>
              <w:contextualSpacing/>
              <w:jc w:val="both"/>
              <w:textAlignment w:val="baseline"/>
              <w:rPr>
                <w:color w:val="000000"/>
                <w:lang w:eastAsia="zh-CN"/>
              </w:rPr>
            </w:pPr>
          </w:p>
          <w:p>
            <w:pPr>
              <w:textAlignment w:val="baseline"/>
              <w:rPr>
                <w:rFonts w:eastAsia="等线"/>
                <w:highlight w:val="green"/>
                <w:lang w:eastAsia="zh-CN"/>
              </w:rPr>
            </w:pPr>
            <w:r>
              <w:rPr>
                <w:rFonts w:eastAsia="等线"/>
                <w:highlight w:val="green"/>
                <w:lang w:eastAsia="zh-CN"/>
              </w:rPr>
              <w:t>Agreement</w:t>
            </w:r>
          </w:p>
          <w:p>
            <w:pPr>
              <w:contextualSpacing/>
              <w:textAlignment w:val="baseline"/>
            </w:pPr>
            <w:r>
              <w:t>For RRC configuration of semi-static switching pattern in Rel-19 low NR band carrier aggregation via switching, semi-static switching pattern is periodic with periodicity of P slots (ms), support P= 40 ms.</w:t>
            </w:r>
          </w:p>
          <w:p>
            <w:pPr>
              <w:textAlignment w:val="baseline"/>
              <w:rPr>
                <w:rFonts w:eastAsia="等线"/>
                <w:lang w:eastAsia="zh-CN"/>
              </w:rPr>
            </w:pPr>
          </w:p>
          <w:p>
            <w:pPr>
              <w:textAlignment w:val="baseline"/>
              <w:rPr>
                <w:rFonts w:eastAsia="等线"/>
                <w:highlight w:val="green"/>
                <w:lang w:eastAsia="zh-CN"/>
              </w:rPr>
            </w:pPr>
            <w:r>
              <w:rPr>
                <w:rFonts w:eastAsia="等线"/>
                <w:highlight w:val="green"/>
                <w:lang w:eastAsia="zh-CN"/>
              </w:rPr>
              <w:t>Agreement</w:t>
            </w:r>
          </w:p>
          <w:p>
            <w:pPr>
              <w:contextualSpacing/>
              <w:textAlignment w:val="baseline"/>
              <w:rPr>
                <w:rFonts w:eastAsia="等线"/>
                <w:color w:val="000000"/>
                <w:lang w:eastAsia="zh-CN"/>
              </w:rPr>
            </w:pPr>
            <w:r>
              <w:rPr>
                <w:color w:val="000000"/>
              </w:rPr>
              <w:t>For RRC configuration of semi-static switching pattern in Rel-19 low NR band carrier aggregation via switching, the duration of the switching gap is RRC configured by the NW</w:t>
            </w:r>
            <w:r>
              <w:rPr>
                <w:rFonts w:eastAsia="等线"/>
                <w:color w:val="000000"/>
                <w:lang w:eastAsia="zh-CN"/>
              </w:rPr>
              <w:t>,</w:t>
            </w:r>
          </w:p>
          <w:p>
            <w:pPr>
              <w:numPr>
                <w:ilvl w:val="0"/>
                <w:numId w:val="11"/>
              </w:numPr>
              <w:overflowPunct/>
              <w:autoSpaceDE/>
              <w:autoSpaceDN/>
              <w:adjustRightInd/>
              <w:spacing w:after="0"/>
              <w:contextualSpacing/>
              <w:textAlignment w:val="baseline"/>
              <w:rPr>
                <w:color w:val="000000"/>
                <w:lang w:eastAsia="zh-CN"/>
              </w:rPr>
            </w:pPr>
            <w:r>
              <w:rPr>
                <w:rFonts w:eastAsia="等线"/>
                <w:color w:val="000000"/>
                <w:lang w:eastAsia="zh-CN"/>
              </w:rPr>
              <w:t>S</w:t>
            </w:r>
            <w:r>
              <w:rPr>
                <w:color w:val="000000"/>
                <w:lang w:eastAsia="zh-CN"/>
              </w:rPr>
              <w:t>witching gap duration can be different for FDD to SDL switch, and SDL to FDD switch.</w:t>
            </w:r>
          </w:p>
          <w:p>
            <w:pPr>
              <w:numPr>
                <w:ilvl w:val="0"/>
                <w:numId w:val="11"/>
              </w:numPr>
              <w:overflowPunct/>
              <w:autoSpaceDE/>
              <w:autoSpaceDN/>
              <w:adjustRightInd/>
              <w:spacing w:after="0"/>
              <w:contextualSpacing/>
              <w:textAlignment w:val="baseline"/>
              <w:rPr>
                <w:strike/>
                <w:color w:val="000000"/>
                <w:lang w:eastAsia="zh-CN"/>
              </w:rPr>
            </w:pPr>
            <w:r>
              <w:rPr>
                <w:color w:val="000000"/>
                <w:lang w:eastAsia="zh-CN"/>
              </w:rPr>
              <w:t>Note: NW ensures that the switching gap is enough to cover at least the switching period as in RAN4 LS (</w:t>
            </w:r>
            <w:r>
              <w:fldChar w:fldCharType="begin"/>
            </w:r>
            <w:r>
              <w:instrText xml:space="preserve"> HYPERLINK "file:///F:\\3GPP\\Docs\\R1-2501702.zip" </w:instrText>
            </w:r>
            <w:r>
              <w:fldChar w:fldCharType="separate"/>
            </w:r>
            <w:r>
              <w:rPr>
                <w:rStyle w:val="24"/>
                <w:lang w:eastAsia="zh-CN"/>
              </w:rPr>
              <w:t>R1-2501702</w:t>
            </w:r>
            <w:r>
              <w:rPr>
                <w:rStyle w:val="24"/>
                <w:lang w:eastAsia="zh-CN"/>
              </w:rPr>
              <w:fldChar w:fldCharType="end"/>
            </w:r>
            <w:r>
              <w:rPr>
                <w:color w:val="000000"/>
                <w:lang w:eastAsia="zh-CN"/>
              </w:rPr>
              <w:t xml:space="preserve">) </w:t>
            </w:r>
            <w:r>
              <w:rPr>
                <w:rFonts w:eastAsia="等线"/>
                <w:color w:val="000000"/>
                <w:lang w:eastAsia="zh-CN"/>
              </w:rPr>
              <w:t>and UL TA (if needed).</w:t>
            </w:r>
          </w:p>
          <w:p>
            <w:pPr>
              <w:numPr>
                <w:ilvl w:val="1"/>
                <w:numId w:val="11"/>
              </w:numPr>
              <w:overflowPunct/>
              <w:autoSpaceDE/>
              <w:autoSpaceDN/>
              <w:adjustRightInd/>
              <w:spacing w:after="0"/>
              <w:contextualSpacing/>
              <w:jc w:val="both"/>
              <w:textAlignment w:val="baseline"/>
              <w:rPr>
                <w:color w:val="000000"/>
                <w:lang w:eastAsia="zh-CN"/>
              </w:rPr>
            </w:pPr>
            <w:r>
              <w:rPr>
                <w:color w:val="000000"/>
                <w:lang w:eastAsia="zh-CN"/>
              </w:rPr>
              <w:t xml:space="preserve">For the UL TA, </w:t>
            </w:r>
          </w:p>
          <w:p>
            <w:pPr>
              <w:numPr>
                <w:ilvl w:val="2"/>
                <w:numId w:val="11"/>
              </w:numPr>
              <w:overflowPunct/>
              <w:autoSpaceDE/>
              <w:autoSpaceDN/>
              <w:adjustRightInd/>
              <w:spacing w:after="0"/>
              <w:contextualSpacing/>
              <w:jc w:val="both"/>
              <w:textAlignment w:val="baseline"/>
              <w:rPr>
                <w:color w:val="000000"/>
                <w:lang w:eastAsia="zh-CN"/>
              </w:rPr>
            </w:pPr>
            <w:r>
              <w:rPr>
                <w:rFonts w:eastAsia="等线"/>
                <w:color w:val="000000"/>
                <w:lang w:eastAsia="zh-CN"/>
              </w:rPr>
              <w:t>S</w:t>
            </w:r>
            <w:r>
              <w:rPr>
                <w:color w:val="000000"/>
                <w:lang w:eastAsia="zh-CN"/>
              </w:rPr>
              <w:t>witching gap for SDL to FDD switch</w:t>
            </w:r>
            <w:r>
              <w:rPr>
                <w:rFonts w:eastAsia="等线"/>
                <w:color w:val="000000"/>
                <w:lang w:eastAsia="zh-CN"/>
              </w:rPr>
              <w:t xml:space="preserve"> ends at the end of slot on SDL.</w:t>
            </w:r>
          </w:p>
          <w:p>
            <w:pPr>
              <w:numPr>
                <w:ilvl w:val="3"/>
                <w:numId w:val="11"/>
              </w:numPr>
              <w:overflowPunct/>
              <w:autoSpaceDE/>
              <w:autoSpaceDN/>
              <w:adjustRightInd/>
              <w:spacing w:after="0"/>
              <w:contextualSpacing/>
              <w:jc w:val="both"/>
              <w:textAlignment w:val="baseline"/>
              <w:rPr>
                <w:color w:val="000000"/>
                <w:lang w:eastAsia="zh-CN"/>
              </w:rPr>
            </w:pPr>
            <w:r>
              <w:rPr>
                <w:rFonts w:eastAsia="等线"/>
                <w:color w:val="000000"/>
                <w:lang w:eastAsia="zh-CN"/>
              </w:rPr>
              <w:t>Note: RAN1 assumes that s</w:t>
            </w:r>
            <w:r>
              <w:rPr>
                <w:color w:val="000000"/>
                <w:lang w:eastAsia="zh-CN"/>
              </w:rPr>
              <w:t>witching gap for SDL to FDD switch includes UL TA.</w:t>
            </w:r>
          </w:p>
          <w:p>
            <w:pPr>
              <w:textAlignment w:val="baseline"/>
              <w:rPr>
                <w:lang w:val="en-US"/>
              </w:rPr>
            </w:pPr>
            <w:r>
              <w:rPr>
                <w:color w:val="000000"/>
                <w:lang w:eastAsia="zh-CN"/>
              </w:rPr>
              <w:t>FFS: whether it has specification impact.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78" w:type="dxa"/>
          </w:tcPr>
          <w:p>
            <w:pPr>
              <w:contextualSpacing/>
              <w:rPr>
                <w:rFonts w:eastAsia="等线"/>
                <w:color w:val="000000"/>
                <w:highlight w:val="green"/>
                <w:lang w:eastAsia="zh-CN"/>
              </w:rPr>
            </w:pPr>
            <w:r>
              <w:rPr>
                <w:rFonts w:hint="eastAsia" w:eastAsia="等线"/>
                <w:color w:val="000000"/>
                <w:highlight w:val="green"/>
                <w:lang w:eastAsia="zh-CN"/>
              </w:rPr>
              <w:t>Agreement</w:t>
            </w:r>
          </w:p>
          <w:p>
            <w:r>
              <w:t>For Rel-19 low NR band carrier aggregation via switching, support configuration of only one switching pattern to a UE based on UE-specific RRC configuration.</w:t>
            </w:r>
          </w:p>
          <w:p>
            <w:pPr>
              <w:rPr>
                <w:rFonts w:eastAsia="等线"/>
                <w:lang w:eastAsia="zh-CN"/>
              </w:rPr>
            </w:pPr>
          </w:p>
          <w:p>
            <w:pPr>
              <w:rPr>
                <w:rFonts w:eastAsia="等线"/>
                <w:highlight w:val="green"/>
                <w:lang w:eastAsia="zh-CN"/>
              </w:rPr>
            </w:pPr>
            <w:r>
              <w:rPr>
                <w:rFonts w:hint="eastAsia" w:eastAsia="等线"/>
                <w:highlight w:val="green"/>
                <w:lang w:eastAsia="zh-CN"/>
              </w:rPr>
              <w:t>Agreement</w:t>
            </w:r>
          </w:p>
          <w:p>
            <w:pPr>
              <w:contextualSpacing/>
              <w:rPr>
                <w:szCs w:val="20"/>
              </w:rPr>
            </w:pPr>
            <w:r>
              <w:rPr>
                <w:szCs w:val="20"/>
              </w:rPr>
              <w:t>For RRC configuration of semi-static switching pattern in Rel-19 low NR band carrier aggregation via switching, regarding the location of the switching gap for switching from FDD carrier to SDL carrier, only support the switching gap is located at the “switch from” carrier, i.e., FDD carrier.</w:t>
            </w:r>
          </w:p>
          <w:p>
            <w:pPr>
              <w:numPr>
                <w:ilvl w:val="0"/>
                <w:numId w:val="12"/>
              </w:numPr>
              <w:contextualSpacing/>
              <w:rPr>
                <w:szCs w:val="20"/>
                <w:lang w:eastAsia="zh-CN"/>
              </w:rPr>
            </w:pPr>
            <w:r>
              <w:rPr>
                <w:szCs w:val="20"/>
                <w:lang w:eastAsia="zh-CN"/>
              </w:rPr>
              <w:t>Switching gap ends at the end of the last slot on the “switch from” carrier.</w:t>
            </w:r>
          </w:p>
          <w:p>
            <w:pPr>
              <w:rPr>
                <w:rFonts w:eastAsia="等线"/>
                <w:lang w:eastAsia="zh-CN"/>
              </w:rPr>
            </w:pPr>
          </w:p>
          <w:p>
            <w:pPr>
              <w:contextualSpacing/>
              <w:rPr>
                <w:rFonts w:ascii="Times New Roman" w:hAnsi="Times New Roman" w:eastAsia="等线"/>
                <w:szCs w:val="20"/>
                <w:lang w:eastAsia="zh-CN"/>
              </w:rPr>
            </w:pPr>
            <w:r>
              <w:rPr>
                <w:rFonts w:ascii="Times New Roman" w:hAnsi="Times New Roman" w:eastAsia="等线"/>
                <w:szCs w:val="20"/>
                <w:highlight w:val="green"/>
                <w:lang w:eastAsia="zh-CN"/>
              </w:rPr>
              <w:t>Agreement</w:t>
            </w:r>
            <w:r>
              <w:rPr>
                <w:rFonts w:ascii="Times New Roman" w:hAnsi="Times New Roman" w:eastAsia="等线"/>
                <w:szCs w:val="20"/>
                <w:lang w:eastAsia="zh-CN"/>
              </w:rPr>
              <w:t xml:space="preserve"> (confirmed in Thursday session as follows)</w:t>
            </w:r>
          </w:p>
          <w:p>
            <w:pPr>
              <w:rPr>
                <w:rFonts w:ascii="Times New Roman" w:hAnsi="Times New Roman"/>
                <w:szCs w:val="20"/>
                <w:lang w:val="en-US"/>
              </w:rPr>
            </w:pPr>
            <w:r>
              <w:rPr>
                <w:rFonts w:ascii="Times New Roman" w:hAnsi="Times New Roman"/>
                <w:szCs w:val="20"/>
                <w:lang w:val="en-US"/>
              </w:rPr>
              <w:t xml:space="preserve">For Rel-19 low NR band carrier aggregation via switching, in terms of the collision handling </w:t>
            </w:r>
          </w:p>
          <w:p>
            <w:pPr>
              <w:numPr>
                <w:ilvl w:val="0"/>
                <w:numId w:val="13"/>
              </w:numPr>
              <w:contextualSpacing/>
              <w:jc w:val="both"/>
              <w:rPr>
                <w:rFonts w:ascii="Times New Roman" w:hAnsi="Times New Roman" w:eastAsia="Times New Roman"/>
                <w:color w:val="000000"/>
                <w:szCs w:val="20"/>
                <w:lang w:val="en-US"/>
              </w:rPr>
            </w:pPr>
            <w:r>
              <w:rPr>
                <w:rFonts w:ascii="Times New Roman" w:hAnsi="Times New Roman" w:eastAsia="Times New Roman"/>
                <w:color w:val="000000"/>
                <w:szCs w:val="20"/>
                <w:lang w:val="en-US"/>
              </w:rPr>
              <w:t>The following cases for collision handling are specified where UL TA is assumed to be 0 for the determination of overlapping. The UL TA =0 assumption only applies to the UL transmission configured by higher layer</w:t>
            </w:r>
          </w:p>
          <w:p>
            <w:pPr>
              <w:numPr>
                <w:ilvl w:val="1"/>
                <w:numId w:val="13"/>
              </w:numPr>
              <w:spacing w:after="120"/>
              <w:contextualSpacing/>
              <w:jc w:val="both"/>
              <w:rPr>
                <w:rFonts w:ascii="Times New Roman" w:hAnsi="Times New Roman" w:eastAsia="Times New Roman"/>
                <w:szCs w:val="20"/>
                <w:lang w:val="en-US"/>
              </w:rPr>
            </w:pPr>
            <w:r>
              <w:rPr>
                <w:rFonts w:ascii="Times New Roman" w:hAnsi="Times New Roman" w:eastAsia="Times New Roman"/>
                <w:color w:val="000000"/>
                <w:szCs w:val="20"/>
                <w:lang w:val="en-US"/>
              </w:rPr>
              <w:t xml:space="preserve">Collision 1: If a UE is configured by higher layers to transmit a PUSCH, PUCCH, </w:t>
            </w:r>
            <w:r>
              <w:rPr>
                <w:rFonts w:ascii="Times New Roman" w:hAnsi="Times New Roman" w:eastAsia="Times New Roman"/>
                <w:szCs w:val="20"/>
                <w:lang w:val="en-US"/>
              </w:rPr>
              <w:t xml:space="preserve">PRACH, or SRS in a set of symbols of an UL slot on the FDD carrier that overlaps, even partially, with the set of symbols of the switching gap, the UE does not transmit the PUSCH, PUCCH, PRACH, or SRS </w:t>
            </w:r>
          </w:p>
          <w:p>
            <w:pPr>
              <w:numPr>
                <w:ilvl w:val="1"/>
                <w:numId w:val="13"/>
              </w:numPr>
              <w:spacing w:after="120"/>
              <w:contextualSpacing/>
              <w:jc w:val="both"/>
              <w:rPr>
                <w:rFonts w:ascii="Times New Roman" w:hAnsi="Times New Roman" w:eastAsia="Times New Roman"/>
                <w:szCs w:val="20"/>
                <w:lang w:val="en-US"/>
              </w:rPr>
            </w:pPr>
            <w:r>
              <w:rPr>
                <w:rFonts w:ascii="Times New Roman" w:hAnsi="Times New Roman" w:eastAsia="Times New Roman"/>
                <w:szCs w:val="20"/>
                <w:lang w:val="en-US"/>
              </w:rPr>
              <w:t xml:space="preserve">Collision 2: If a UE is configured by higher layers to transmit a PUSCH, PUCCH, PRACH, or SRS in a set of symbols of an UL slot on the FDD carrier that overlaps, even partially, with the set of symbols of the DL slot indicated as SDL carrier, the UE does not transmit the PUSCH, PUCCH, PRACH, or SRS </w:t>
            </w:r>
          </w:p>
          <w:p>
            <w:pPr>
              <w:numPr>
                <w:ilvl w:val="1"/>
                <w:numId w:val="13"/>
              </w:numPr>
              <w:spacing w:after="120"/>
              <w:contextualSpacing/>
              <w:jc w:val="both"/>
              <w:rPr>
                <w:rFonts w:ascii="Times New Roman" w:hAnsi="Times New Roman" w:eastAsia="Times New Roman"/>
                <w:szCs w:val="20"/>
                <w:lang w:val="en-US"/>
              </w:rPr>
            </w:pPr>
            <w:r>
              <w:rPr>
                <w:rFonts w:ascii="Times New Roman" w:hAnsi="Times New Roman" w:eastAsia="Times New Roman"/>
                <w:szCs w:val="20"/>
                <w:lang w:val="en-US"/>
              </w:rPr>
              <w:t>Collision 3: If a UE is configured by higher layers to receive a PDCCH, PDSCH, PRS or CSI-RS in a set of symbols of a DL slot on the SDL carrier that overlaps, even partially, with the set of symbols of the switching gap, the UE does not receive the PDCCH, PDSCH, PRS or CSI-RS.</w:t>
            </w:r>
          </w:p>
          <w:p>
            <w:pPr>
              <w:numPr>
                <w:ilvl w:val="1"/>
                <w:numId w:val="13"/>
              </w:numPr>
              <w:spacing w:after="120"/>
              <w:contextualSpacing/>
              <w:jc w:val="both"/>
              <w:rPr>
                <w:rFonts w:ascii="Times New Roman" w:hAnsi="Times New Roman" w:eastAsia="Times New Roman"/>
                <w:szCs w:val="20"/>
                <w:lang w:val="en-US"/>
              </w:rPr>
            </w:pPr>
            <w:r>
              <w:rPr>
                <w:rFonts w:ascii="Times New Roman" w:hAnsi="Times New Roman" w:eastAsia="Times New Roman"/>
                <w:szCs w:val="20"/>
                <w:lang w:val="en-US"/>
              </w:rPr>
              <w:t xml:space="preserve">Collision 4: If a UE is configured by higher layers to receive a PDCCH, PDSCH, PRS or CSI-RS in a set of symbols of a DL slot on the SDL carrier that overlaps, even partially, with the set of symbols of the DL slot indicated as FDD carrier, the UE does not receive the PDCCH, PDSCH, PRS or CSI-RS </w:t>
            </w:r>
          </w:p>
          <w:p>
            <w:pPr>
              <w:numPr>
                <w:ilvl w:val="1"/>
                <w:numId w:val="13"/>
              </w:numPr>
              <w:spacing w:after="120"/>
              <w:contextualSpacing/>
              <w:jc w:val="both"/>
              <w:rPr>
                <w:rFonts w:ascii="Times New Roman" w:hAnsi="Times New Roman" w:eastAsia="Times New Roman"/>
                <w:szCs w:val="20"/>
                <w:lang w:val="en-US"/>
              </w:rPr>
            </w:pPr>
            <w:r>
              <w:rPr>
                <w:rFonts w:ascii="Times New Roman" w:hAnsi="Times New Roman" w:eastAsia="Times New Roman"/>
                <w:szCs w:val="20"/>
                <w:lang w:val="en-US"/>
              </w:rPr>
              <w:t>Collision 5: If a UE is configured by higher layers to receive a PDCCH, PDSCH, PRS or CSI-RS in a set of symbols of a DL slot on the FDD carrier that overlaps, even partially, with the set of symbols of the switching gap, the UE does not receive the PDCCH, PDSCH, PRS or CSI-RS.</w:t>
            </w:r>
          </w:p>
          <w:p>
            <w:pPr>
              <w:numPr>
                <w:ilvl w:val="1"/>
                <w:numId w:val="13"/>
              </w:numPr>
              <w:spacing w:after="120"/>
              <w:contextualSpacing/>
              <w:jc w:val="both"/>
              <w:rPr>
                <w:rFonts w:ascii="Times New Roman" w:hAnsi="Times New Roman" w:eastAsia="Times New Roman"/>
                <w:szCs w:val="20"/>
                <w:lang w:val="en-US"/>
              </w:rPr>
            </w:pPr>
            <w:r>
              <w:rPr>
                <w:rFonts w:ascii="Times New Roman" w:hAnsi="Times New Roman" w:eastAsia="Times New Roman"/>
                <w:szCs w:val="20"/>
                <w:lang w:val="en-US"/>
              </w:rPr>
              <w:t>Collision 6: If a UE is configured by higher layers to receive a PDCCH, PDSCH, PRS or CSI-RS in a set of symbols of a DL slot on the FDD carrier that overlaps, even partially, with the set of symbols of the DL slot indicated as SDL carrier, the UE does not receive the PDCCH, PDSCH, PRS or CSI-RS</w:t>
            </w:r>
          </w:p>
          <w:p>
            <w:pPr>
              <w:numPr>
                <w:ilvl w:val="0"/>
                <w:numId w:val="13"/>
              </w:numPr>
              <w:spacing w:after="120"/>
              <w:contextualSpacing/>
              <w:jc w:val="both"/>
              <w:rPr>
                <w:rFonts w:ascii="Times New Roman" w:hAnsi="Times New Roman" w:eastAsia="Times New Roman"/>
                <w:szCs w:val="20"/>
                <w:lang w:val="en-US"/>
              </w:rPr>
            </w:pPr>
            <w:r>
              <w:rPr>
                <w:rFonts w:ascii="Times New Roman" w:hAnsi="Times New Roman" w:eastAsia="Times New Roman"/>
                <w:szCs w:val="20"/>
                <w:lang w:val="en-US"/>
              </w:rPr>
              <w:t xml:space="preserve">For the other cases, i.e., DL and UL signals/channels scheduled/triggered by DCI </w:t>
            </w:r>
          </w:p>
          <w:p>
            <w:pPr>
              <w:numPr>
                <w:ilvl w:val="1"/>
                <w:numId w:val="13"/>
              </w:numPr>
              <w:spacing w:after="120"/>
              <w:contextualSpacing/>
              <w:jc w:val="both"/>
              <w:rPr>
                <w:rFonts w:ascii="Times New Roman" w:hAnsi="Times New Roman" w:eastAsia="Times New Roman"/>
                <w:szCs w:val="20"/>
                <w:lang w:val="en-US"/>
              </w:rPr>
            </w:pPr>
            <w:r>
              <w:rPr>
                <w:rFonts w:ascii="Times New Roman" w:hAnsi="Times New Roman" w:eastAsia="等线"/>
                <w:szCs w:val="20"/>
                <w:lang w:eastAsia="zh-CN"/>
              </w:rPr>
              <w:t>A</w:t>
            </w:r>
            <w:r>
              <w:rPr>
                <w:rFonts w:ascii="Times New Roman" w:hAnsi="Times New Roman" w:eastAsia="Times New Roman"/>
                <w:szCs w:val="20"/>
              </w:rPr>
              <w:t xml:space="preserve"> UE is not expected </w:t>
            </w:r>
            <w:r>
              <w:rPr>
                <w:rFonts w:ascii="Times New Roman" w:hAnsi="Times New Roman" w:eastAsia="等线"/>
                <w:szCs w:val="20"/>
                <w:lang w:eastAsia="zh-CN"/>
              </w:rPr>
              <w:t xml:space="preserve">any </w:t>
            </w:r>
            <w:r>
              <w:rPr>
                <w:rFonts w:ascii="Times New Roman" w:hAnsi="Times New Roman" w:eastAsia="Times New Roman"/>
                <w:szCs w:val="20"/>
              </w:rPr>
              <w:t>schedul</w:t>
            </w:r>
            <w:r>
              <w:rPr>
                <w:rFonts w:ascii="Times New Roman" w:hAnsi="Times New Roman" w:eastAsia="等线"/>
                <w:szCs w:val="20"/>
                <w:lang w:eastAsia="zh-CN"/>
              </w:rPr>
              <w:t>ing</w:t>
            </w:r>
            <w:r>
              <w:rPr>
                <w:rFonts w:ascii="Times New Roman" w:hAnsi="Times New Roman" w:eastAsia="Times New Roman"/>
                <w:szCs w:val="20"/>
              </w:rPr>
              <w:t>/trigge</w:t>
            </w:r>
            <w:r>
              <w:rPr>
                <w:rFonts w:ascii="Times New Roman" w:hAnsi="Times New Roman" w:eastAsia="等线"/>
                <w:szCs w:val="20"/>
                <w:lang w:eastAsia="zh-CN"/>
              </w:rPr>
              <w:t>ring</w:t>
            </w:r>
            <w:r>
              <w:rPr>
                <w:rFonts w:ascii="Times New Roman" w:hAnsi="Times New Roman" w:eastAsia="Times New Roman"/>
                <w:szCs w:val="20"/>
              </w:rPr>
              <w:t xml:space="preserve"> </w:t>
            </w:r>
            <w:r>
              <w:rPr>
                <w:rFonts w:ascii="Times New Roman" w:hAnsi="Times New Roman" w:eastAsia="等线"/>
                <w:szCs w:val="20"/>
                <w:lang w:eastAsia="zh-CN"/>
              </w:rPr>
              <w:t>from</w:t>
            </w:r>
            <w:r>
              <w:rPr>
                <w:rFonts w:ascii="Times New Roman" w:hAnsi="Times New Roman" w:eastAsia="Times New Roman"/>
                <w:szCs w:val="20"/>
              </w:rPr>
              <w:t xml:space="preserve"> network</w:t>
            </w:r>
            <w:r>
              <w:rPr>
                <w:rFonts w:ascii="Times New Roman" w:hAnsi="Times New Roman" w:eastAsia="等线"/>
                <w:szCs w:val="20"/>
                <w:lang w:eastAsia="zh-CN"/>
              </w:rPr>
              <w:t xml:space="preserve"> that will lead to above collisions</w:t>
            </w:r>
            <w:r>
              <w:rPr>
                <w:rFonts w:ascii="Times New Roman" w:hAnsi="Times New Roman" w:eastAsia="Times New Roman"/>
                <w:szCs w:val="20"/>
                <w:lang w:val="en-US"/>
              </w:rPr>
              <w:t xml:space="preserve"> </w:t>
            </w:r>
          </w:p>
          <w:p>
            <w:pPr>
              <w:numPr>
                <w:ilvl w:val="2"/>
                <w:numId w:val="13"/>
              </w:numPr>
              <w:spacing w:after="120"/>
              <w:contextualSpacing/>
              <w:jc w:val="both"/>
              <w:rPr>
                <w:rFonts w:ascii="Times New Roman" w:hAnsi="Times New Roman" w:eastAsia="Times New Roman"/>
                <w:szCs w:val="20"/>
                <w:lang w:val="en-US"/>
              </w:rPr>
            </w:pPr>
            <w:r>
              <w:rPr>
                <w:rFonts w:ascii="Times New Roman" w:hAnsi="Times New Roman" w:eastAsia="Times New Roman"/>
                <w:szCs w:val="20"/>
                <w:lang w:val="en-US"/>
              </w:rPr>
              <w:t xml:space="preserve">Except that the PUSCH, PUCCH, PRACH, or SRS transmission that </w:t>
            </w:r>
            <w:r>
              <w:rPr>
                <w:rFonts w:ascii="Times New Roman" w:hAnsi="Times New Roman" w:eastAsia="等线"/>
                <w:szCs w:val="20"/>
                <w:lang w:val="en-US" w:eastAsia="zh-CN"/>
              </w:rPr>
              <w:t>overlapped</w:t>
            </w:r>
            <w:r>
              <w:rPr>
                <w:rFonts w:ascii="Times New Roman" w:hAnsi="Times New Roman" w:eastAsia="Times New Roman"/>
                <w:szCs w:val="20"/>
                <w:lang w:val="en-US"/>
              </w:rPr>
              <w:t xml:space="preserve"> with the switching gap on SDL carrier when the SDL carrier switches to FDD carrier is not considered as collision</w:t>
            </w:r>
          </w:p>
          <w:p>
            <w:pPr>
              <w:rPr>
                <w:color w:val="000000"/>
                <w:lang w:eastAsia="zh-CN"/>
              </w:rPr>
            </w:pPr>
            <w:r>
              <w:rPr>
                <w:rFonts w:ascii="Times New Roman" w:hAnsi="Times New Roman"/>
                <w:szCs w:val="20"/>
                <w:lang w:val="en-US"/>
              </w:rPr>
              <w:t>UE expects that the switching gap configured by the NW for SDL carrier to FDD carrier switching covers at least the switching period as in RAN4 LS (</w:t>
            </w:r>
            <w:r>
              <w:fldChar w:fldCharType="begin"/>
            </w:r>
            <w:r>
              <w:instrText xml:space="preserve"> HYPERLINK "../Docs/R1-2501702.zip" </w:instrText>
            </w:r>
            <w:r>
              <w:fldChar w:fldCharType="separate"/>
            </w:r>
            <w:r>
              <w:rPr>
                <w:rStyle w:val="24"/>
                <w:rFonts w:ascii="Times New Roman" w:hAnsi="Times New Roman"/>
                <w:szCs w:val="20"/>
                <w:lang w:val="en-US"/>
              </w:rPr>
              <w:t>R1-2501702</w:t>
            </w:r>
            <w:r>
              <w:rPr>
                <w:rStyle w:val="24"/>
                <w:rFonts w:ascii="Times New Roman" w:hAnsi="Times New Roman"/>
                <w:szCs w:val="20"/>
                <w:lang w:val="en-US"/>
              </w:rPr>
              <w:fldChar w:fldCharType="end"/>
            </w:r>
            <w:r>
              <w:rPr>
                <w:rFonts w:ascii="Times New Roman" w:hAnsi="Times New Roman"/>
                <w:szCs w:val="20"/>
                <w:lang w:val="en-US"/>
              </w:rPr>
              <w:t>) and UL 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78" w:type="dxa"/>
          </w:tcPr>
          <w:p>
            <w:pPr>
              <w:rPr>
                <w:rFonts w:eastAsia="等线"/>
                <w:highlight w:val="green"/>
                <w:lang w:eastAsia="zh-CN"/>
              </w:rPr>
            </w:pPr>
            <w:r>
              <w:rPr>
                <w:rFonts w:hint="eastAsia" w:eastAsia="等线"/>
                <w:highlight w:val="green"/>
                <w:lang w:eastAsia="zh-CN"/>
              </w:rPr>
              <w:t>Agreement</w:t>
            </w:r>
          </w:p>
          <w:p>
            <w:pPr>
              <w:spacing w:after="120"/>
              <w:contextualSpacing/>
              <w:jc w:val="both"/>
              <w:rPr>
                <w:rFonts w:ascii="Times New Roman" w:hAnsi="Times New Roman" w:eastAsia="Times New Roman"/>
                <w:szCs w:val="20"/>
                <w:lang w:val="en-US"/>
              </w:rPr>
            </w:pPr>
            <w:r>
              <w:rPr>
                <w:rFonts w:ascii="Times New Roman" w:hAnsi="Times New Roman" w:eastAsia="Times New Roman"/>
                <w:szCs w:val="20"/>
                <w:lang w:val="en-US"/>
              </w:rPr>
              <w:t>For Rel-19 low NR band carrier aggregation via switching, in terms of the collision handling of SSB, a UE does not receive the SSB that collides with the LB CA switching pattern.</w:t>
            </w:r>
          </w:p>
          <w:p>
            <w:pPr>
              <w:numPr>
                <w:ilvl w:val="0"/>
                <w:numId w:val="14"/>
              </w:numPr>
              <w:spacing w:after="120"/>
              <w:contextualSpacing/>
              <w:jc w:val="both"/>
              <w:rPr>
                <w:rFonts w:ascii="Times New Roman" w:hAnsi="Times New Roman" w:eastAsia="Times New Roman"/>
                <w:szCs w:val="20"/>
                <w:lang w:val="en-US"/>
              </w:rPr>
            </w:pPr>
            <w:r>
              <w:rPr>
                <w:rFonts w:ascii="Times New Roman" w:hAnsi="Times New Roman" w:eastAsia="Times New Roman"/>
                <w:szCs w:val="20"/>
                <w:lang w:val="en-US"/>
              </w:rPr>
              <w:t>Note: a SSB collides with the LB CA switching pattern if</w:t>
            </w:r>
          </w:p>
          <w:p>
            <w:pPr>
              <w:numPr>
                <w:ilvl w:val="1"/>
                <w:numId w:val="14"/>
              </w:numPr>
              <w:spacing w:after="120"/>
              <w:contextualSpacing/>
              <w:jc w:val="both"/>
              <w:rPr>
                <w:rFonts w:ascii="Times New Roman" w:hAnsi="Times New Roman" w:eastAsia="Times New Roman"/>
                <w:szCs w:val="20"/>
                <w:lang w:val="en-US"/>
              </w:rPr>
            </w:pPr>
            <w:r>
              <w:rPr>
                <w:rFonts w:ascii="Times New Roman" w:hAnsi="Times New Roman" w:eastAsia="Times New Roman"/>
                <w:szCs w:val="20"/>
                <w:lang w:val="en-US"/>
              </w:rPr>
              <w:t>For SSB in FDD carrier, one or multiple SSB symbols overlaps with symbols configured as either SDL carrier or switching gap.</w:t>
            </w:r>
          </w:p>
          <w:p>
            <w:pPr>
              <w:numPr>
                <w:ilvl w:val="1"/>
                <w:numId w:val="14"/>
              </w:numPr>
              <w:spacing w:after="120"/>
              <w:contextualSpacing/>
              <w:jc w:val="both"/>
              <w:rPr>
                <w:rFonts w:ascii="Times New Roman" w:hAnsi="Times New Roman" w:eastAsia="Times New Roman"/>
                <w:szCs w:val="20"/>
                <w:lang w:val="en-US"/>
              </w:rPr>
            </w:pPr>
            <w:r>
              <w:rPr>
                <w:rFonts w:ascii="Times New Roman" w:hAnsi="Times New Roman" w:eastAsia="Times New Roman"/>
                <w:szCs w:val="20"/>
                <w:lang w:val="en-US"/>
              </w:rPr>
              <w:t>For SSB in SDL carrier, one or multiple SSB symbols overlaps with symbols configured as either FDD carrier or switching gap.</w:t>
            </w:r>
          </w:p>
          <w:p>
            <w:pPr>
              <w:rPr>
                <w:rFonts w:eastAsia="等线"/>
                <w:lang w:eastAsia="zh-CN"/>
              </w:rPr>
            </w:pPr>
          </w:p>
          <w:p>
            <w:pPr>
              <w:rPr>
                <w:rFonts w:eastAsia="等线"/>
                <w:b/>
                <w:bCs/>
                <w:lang w:eastAsia="zh-CN"/>
              </w:rPr>
            </w:pPr>
            <w:r>
              <w:rPr>
                <w:rFonts w:hint="eastAsia" w:eastAsia="等线"/>
                <w:b/>
                <w:bCs/>
                <w:lang w:eastAsia="zh-CN"/>
              </w:rPr>
              <w:t>Conclusion</w:t>
            </w:r>
          </w:p>
          <w:p>
            <w:pPr>
              <w:contextualSpacing/>
              <w:rPr>
                <w:szCs w:val="20"/>
              </w:rPr>
            </w:pPr>
            <w:r>
              <w:rPr>
                <w:szCs w:val="20"/>
              </w:rPr>
              <w:t>For RRC configuration of semi-static switching pattern in Rel-19 low NR band carrier aggregation via switching, support the following restrictions for the semi-static switching pattern:</w:t>
            </w:r>
          </w:p>
          <w:p>
            <w:pPr>
              <w:numPr>
                <w:ilvl w:val="0"/>
                <w:numId w:val="15"/>
              </w:numPr>
              <w:contextualSpacing/>
              <w:rPr>
                <w:szCs w:val="20"/>
                <w:lang w:eastAsia="zh-CN"/>
              </w:rPr>
            </w:pPr>
            <w:r>
              <w:rPr>
                <w:rFonts w:eastAsia="等线"/>
                <w:szCs w:val="20"/>
                <w:lang w:eastAsia="zh-CN"/>
              </w:rPr>
              <w:t xml:space="preserve">It is RAN1 understanding </w:t>
            </w:r>
            <w:r>
              <w:rPr>
                <w:rFonts w:hint="eastAsia" w:eastAsia="等线"/>
                <w:szCs w:val="20"/>
                <w:lang w:eastAsia="zh-CN"/>
              </w:rPr>
              <w:t xml:space="preserve">that </w:t>
            </w:r>
            <w:r>
              <w:rPr>
                <w:rFonts w:eastAsia="等线"/>
                <w:szCs w:val="20"/>
                <w:lang w:eastAsia="zh-CN"/>
              </w:rPr>
              <w:t>at least one SSB in PCell is available every 160ms</w:t>
            </w:r>
            <w:r>
              <w:rPr>
                <w:rFonts w:hint="eastAsia" w:eastAsia="等线"/>
                <w:szCs w:val="20"/>
                <w:lang w:eastAsia="zh-CN"/>
              </w:rPr>
              <w:t xml:space="preserve"> for meeting existing RAN4 requirements</w:t>
            </w:r>
            <w:r>
              <w:rPr>
                <w:rFonts w:eastAsia="等线"/>
                <w:szCs w:val="20"/>
                <w:lang w:eastAsia="zh-CN"/>
              </w:rPr>
              <w:t>.</w:t>
            </w:r>
          </w:p>
          <w:p>
            <w:pPr>
              <w:numPr>
                <w:ilvl w:val="0"/>
                <w:numId w:val="15"/>
              </w:numPr>
              <w:contextualSpacing/>
              <w:rPr>
                <w:szCs w:val="20"/>
                <w:lang w:eastAsia="zh-CN"/>
              </w:rPr>
            </w:pPr>
            <w:r>
              <w:rPr>
                <w:rFonts w:hint="eastAsia" w:eastAsia="等线"/>
                <w:szCs w:val="20"/>
                <w:lang w:eastAsia="zh-CN"/>
              </w:rPr>
              <w:t>A</w:t>
            </w:r>
            <w:r>
              <w:rPr>
                <w:szCs w:val="20"/>
                <w:lang w:eastAsia="zh-CN"/>
              </w:rPr>
              <w:t xml:space="preserve">t least </w:t>
            </w:r>
            <w:r>
              <w:rPr>
                <w:rFonts w:eastAsia="等线"/>
                <w:szCs w:val="20"/>
                <w:lang w:eastAsia="zh-CN"/>
              </w:rPr>
              <w:t>one SSB in SCell is available every 160ms.</w:t>
            </w:r>
          </w:p>
          <w:p>
            <w:pPr>
              <w:rPr>
                <w:rFonts w:ascii="Times New Roman" w:hAnsi="Times New Roman"/>
                <w:szCs w:val="20"/>
                <w:lang w:val="en-US"/>
              </w:rPr>
            </w:pPr>
          </w:p>
        </w:tc>
      </w:tr>
    </w:tbl>
    <w:p>
      <w:pPr>
        <w:keepNext w:val="0"/>
        <w:keepLines w:val="0"/>
        <w:pageBreakBefore w:val="0"/>
        <w:widowControl/>
        <w:kinsoku/>
        <w:wordWrap/>
        <w:overflowPunct/>
        <w:topLinePunct w:val="0"/>
        <w:autoSpaceDE/>
        <w:autoSpaceDN/>
        <w:bidi w:val="0"/>
        <w:adjustRightInd/>
        <w:snapToGrid/>
        <w:spacing w:before="0" w:beforeLines="50"/>
        <w:textAlignment w:val="auto"/>
        <w:rPr>
          <w:rFonts w:hint="default"/>
          <w:lang w:val="en-US" w:eastAsia="zh-CN"/>
        </w:rPr>
      </w:pPr>
      <w:r>
        <w:rPr>
          <w:rFonts w:hint="eastAsia"/>
          <w:b/>
          <w:i/>
          <w:lang w:val="en-US" w:eastAsia="zh-CN"/>
        </w:rPr>
        <w:t xml:space="preserve">Proposal </w:t>
      </w:r>
      <w:r>
        <w:rPr>
          <w:b/>
          <w:i/>
          <w:lang w:eastAsia="zh-CN"/>
        </w:rPr>
        <w:t>1:</w:t>
      </w:r>
      <w:r>
        <w:rPr>
          <w:i/>
          <w:lang w:eastAsia="zh-CN"/>
        </w:rPr>
        <w:t xml:space="preserve"> The</w:t>
      </w:r>
      <w:r>
        <w:rPr>
          <w:rFonts w:hint="eastAsia"/>
          <w:i/>
          <w:lang w:val="en-US" w:eastAsia="zh-CN"/>
        </w:rPr>
        <w:t>re is no need to introduce RAN1 FG based on the RAN1 agreements made up to the RAN1#122 meeting.</w:t>
      </w:r>
    </w:p>
    <w:p>
      <w:pPr>
        <w:pStyle w:val="2"/>
      </w:pPr>
      <w:r>
        <w:t>Conclusion</w:t>
      </w:r>
    </w:p>
    <w:p>
      <w:r>
        <w:rPr>
          <w:rFonts w:hint="eastAsia"/>
          <w:lang w:val="en-US" w:eastAsia="zh-CN"/>
        </w:rPr>
        <w:t>In this contribution</w:t>
      </w:r>
      <w:r>
        <w:t>, we have the following proposal for the UE feature</w:t>
      </w:r>
      <w:r>
        <w:rPr>
          <w:rFonts w:hint="eastAsia"/>
          <w:lang w:val="en-US" w:eastAsia="zh-CN"/>
        </w:rPr>
        <w:t>s</w:t>
      </w:r>
      <w:r>
        <w:t xml:space="preserve"> on Rel-19 </w:t>
      </w:r>
      <w:r>
        <w:rPr>
          <w:rFonts w:hint="eastAsia"/>
          <w:lang w:val="en-US" w:eastAsia="zh-CN"/>
        </w:rPr>
        <w:t>LBCA via switching</w:t>
      </w:r>
      <w:r>
        <w:t>.</w:t>
      </w:r>
    </w:p>
    <w:p>
      <w:pPr>
        <w:rPr>
          <w:rFonts w:hint="eastAsia"/>
          <w:i/>
          <w:lang w:val="en-US" w:eastAsia="zh-CN"/>
        </w:rPr>
      </w:pPr>
      <w:r>
        <w:rPr>
          <w:rFonts w:hint="eastAsia"/>
          <w:b/>
          <w:i/>
          <w:lang w:val="en-US" w:eastAsia="zh-CN"/>
        </w:rPr>
        <w:t xml:space="preserve">Proposal </w:t>
      </w:r>
      <w:r>
        <w:rPr>
          <w:b/>
          <w:i/>
          <w:lang w:eastAsia="zh-CN"/>
        </w:rPr>
        <w:t>1:</w:t>
      </w:r>
      <w:r>
        <w:rPr>
          <w:i/>
          <w:lang w:eastAsia="zh-CN"/>
        </w:rPr>
        <w:t xml:space="preserve"> The</w:t>
      </w:r>
      <w:r>
        <w:rPr>
          <w:rFonts w:hint="eastAsia"/>
          <w:i/>
          <w:lang w:val="en-US" w:eastAsia="zh-CN"/>
        </w:rPr>
        <w:t>re is no need to introduce RAN1 FG based on the RAN1 agreements made up to the RAN1#122 meeting.</w:t>
      </w:r>
    </w:p>
    <w:p>
      <w:pPr>
        <w:pStyle w:val="2"/>
        <w:rPr>
          <w:rFonts w:hint="eastAsia"/>
          <w:lang w:val="en-US" w:eastAsia="zh-CN"/>
        </w:rPr>
      </w:pPr>
      <w:r>
        <w:t>References</w:t>
      </w:r>
    </w:p>
    <w:p>
      <w:pPr>
        <w:pStyle w:val="33"/>
        <w:numPr>
          <w:ilvl w:val="0"/>
          <w:numId w:val="0"/>
        </w:numPr>
        <w:ind w:leftChars="0"/>
      </w:pPr>
      <w:r>
        <w:rPr>
          <w:rFonts w:hint="eastAsia"/>
          <w:lang w:val="en-US" w:eastAsia="zh-CN"/>
        </w:rPr>
        <w:t xml:space="preserve">[1] </w:t>
      </w:r>
      <w:r>
        <w:t>3GPP RAN1#12</w:t>
      </w:r>
      <w:r>
        <w:rPr>
          <w:rFonts w:hint="eastAsia"/>
          <w:lang w:val="en-US" w:eastAsia="zh-CN"/>
        </w:rPr>
        <w:t>2</w:t>
      </w:r>
      <w:r>
        <w:t xml:space="preserve">, </w:t>
      </w:r>
      <w:r>
        <w:rPr>
          <w:lang w:eastAsia="ja-JP"/>
        </w:rPr>
        <w:t>R1-250</w:t>
      </w:r>
      <w:r>
        <w:rPr>
          <w:rFonts w:hint="eastAsia"/>
          <w:lang w:val="en-US" w:eastAsia="zh-CN"/>
        </w:rPr>
        <w:t xml:space="preserve">6422, </w:t>
      </w:r>
      <w:r>
        <w:t>Summary of discussion on Rel-19 NR UE features for low band CA via switching</w:t>
      </w:r>
      <w:r>
        <w:rPr>
          <w:rFonts w:hint="eastAsia"/>
          <w:lang w:val="en-US" w:eastAsia="zh-CN"/>
        </w:rPr>
        <w:t xml:space="preserve">, </w:t>
      </w:r>
      <w:r>
        <w:t>Moderator (NTT DOCOMO, INC.)</w:t>
      </w:r>
    </w:p>
    <w:p>
      <w:pPr>
        <w:pStyle w:val="33"/>
        <w:numPr>
          <w:ilvl w:val="0"/>
          <w:numId w:val="0"/>
        </w:numPr>
        <w:ind w:leftChars="0"/>
        <w:rPr>
          <w:rFonts w:hint="default"/>
          <w:lang w:val="en-US" w:eastAsia="zh-CN"/>
        </w:rPr>
      </w:pPr>
      <w:r>
        <w:rPr>
          <w:rFonts w:hint="eastAsia"/>
          <w:lang w:val="en-US" w:eastAsia="zh-CN"/>
        </w:rPr>
        <w:t>[2] R1-2506733(</w:t>
      </w:r>
      <w:bookmarkStart w:id="1" w:name="_GoBack"/>
      <w:bookmarkEnd w:id="1"/>
      <w:r>
        <w:rPr>
          <w:rFonts w:hint="eastAsia"/>
          <w:lang w:val="en-US" w:eastAsia="zh-CN"/>
        </w:rPr>
        <w:t xml:space="preserve">R4-2511884), </w:t>
      </w:r>
      <w:r>
        <w:rPr>
          <w:lang w:eastAsia="en-GB"/>
        </w:rPr>
        <w:t xml:space="preserve">LS on Rel-19 RAN4 UE feature list for NR (version </w:t>
      </w:r>
      <w:r>
        <w:rPr>
          <w:rFonts w:hint="eastAsia"/>
          <w:lang w:val="en-US" w:eastAsia="zh-CN"/>
        </w:rPr>
        <w:t>2</w:t>
      </w:r>
      <w:r>
        <w:rPr>
          <w:lang w:eastAsia="en-GB"/>
        </w:rPr>
        <w:t>)</w:t>
      </w:r>
    </w:p>
    <w:sectPr>
      <w:pgSz w:w="11907" w:h="16840"/>
      <w:pgMar w:top="1134" w:right="1134" w:bottom="1134" w:left="1134"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 w:name="Segoe UI">
    <w:panose1 w:val="020B0502040204020203"/>
    <w:charset w:val="00"/>
    <w:family w:val="swiss"/>
    <w:pitch w:val="default"/>
    <w:sig w:usb0="E4002EFF" w:usb1="C000E47F" w:usb2="00000009" w:usb3="00000000" w:csb0="200001FF" w:csb1="00000000"/>
  </w:font>
  <w:font w:name="Webdings">
    <w:panose1 w:val="05030102010509060703"/>
    <w:charset w:val="02"/>
    <w:family w:val="roman"/>
    <w:pitch w:val="default"/>
    <w:sig w:usb0="00000000" w:usb1="00000000" w:usb2="00000000" w:usb3="00000000" w:csb0="80000000" w:csb1="00000000"/>
  </w:font>
  <w:font w:name="Monotype Sorts">
    <w:altName w:val="Segoe UI Symbol"/>
    <w:panose1 w:val="00000000000000000000"/>
    <w:charset w:val="02"/>
    <w:family w:val="auto"/>
    <w:pitch w:val="default"/>
    <w:sig w:usb0="00000000" w:usb1="00000000" w:usb2="00000000" w:usb3="00000000" w:csb0="80000000" w:csb1="00000000"/>
  </w:font>
  <w:font w:name="ＭＳ 明朝">
    <w:altName w:val="Yu Gothic UI"/>
    <w:panose1 w:val="02020609040205080304"/>
    <w:charset w:val="80"/>
    <w:family w:val="roman"/>
    <w:pitch w:val="default"/>
    <w:sig w:usb0="00000000" w:usb1="00000000" w:usb2="08000012" w:usb3="00000000" w:csb0="0002009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Segoe UI Symbol">
    <w:panose1 w:val="020B0502040204020203"/>
    <w:charset w:val="00"/>
    <w:family w:val="auto"/>
    <w:pitch w:val="default"/>
    <w:sig w:usb0="800001E3" w:usb1="1200FFEF" w:usb2="00040000" w:usb3="04000000" w:csb0="00000001" w:csb1="4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A13025"/>
    <w:multiLevelType w:val="multilevel"/>
    <w:tmpl w:val="10A1302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15F505D4"/>
    <w:multiLevelType w:val="multilevel"/>
    <w:tmpl w:val="15F505D4"/>
    <w:lvl w:ilvl="0" w:tentative="0">
      <w:start w:val="1"/>
      <w:numFmt w:val="decimal"/>
      <w:pStyle w:val="33"/>
      <w:lvlText w:val="[%1]"/>
      <w:lvlJc w:val="left"/>
      <w:pPr>
        <w:ind w:left="720" w:hanging="360"/>
      </w:pPr>
      <w:rPr>
        <w:rFonts w:hint="eastAsia"/>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1B0A1344"/>
    <w:multiLevelType w:val="singleLevel"/>
    <w:tmpl w:val="1B0A1344"/>
    <w:lvl w:ilvl="0" w:tentative="0">
      <w:start w:val="1"/>
      <w:numFmt w:val="bullet"/>
      <w:pStyle w:val="29"/>
      <w:lvlText w:val=""/>
      <w:lvlJc w:val="left"/>
      <w:pPr>
        <w:tabs>
          <w:tab w:val="left" w:pos="0"/>
        </w:tabs>
        <w:ind w:left="1728" w:hanging="288"/>
      </w:pPr>
      <w:rPr>
        <w:rFonts w:hint="default" w:ascii="Monotype Sorts" w:hAnsi="Monotype Sorts"/>
      </w:rPr>
    </w:lvl>
  </w:abstractNum>
  <w:abstractNum w:abstractNumId="3">
    <w:nsid w:val="24F17535"/>
    <w:multiLevelType w:val="multilevel"/>
    <w:tmpl w:val="24F17535"/>
    <w:lvl w:ilvl="0" w:tentative="0">
      <w:start w:val="0"/>
      <w:numFmt w:val="bullet"/>
      <w:lvlText w:val="-"/>
      <w:lvlJc w:val="left"/>
      <w:pPr>
        <w:ind w:left="360" w:hanging="360"/>
      </w:pPr>
      <w:rPr>
        <w:rFonts w:hint="default" w:ascii="Times New Roman" w:hAnsi="Times New Roman" w:eastAsia="ＭＳ 明朝"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4">
    <w:nsid w:val="2B146025"/>
    <w:multiLevelType w:val="multilevel"/>
    <w:tmpl w:val="2B14602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5750EB7"/>
    <w:multiLevelType w:val="multilevel"/>
    <w:tmpl w:val="35750EB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77E2ADD"/>
    <w:multiLevelType w:val="multilevel"/>
    <w:tmpl w:val="377E2AD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BDE7A6F"/>
    <w:multiLevelType w:val="multilevel"/>
    <w:tmpl w:val="3BDE7A6F"/>
    <w:lvl w:ilvl="0" w:tentative="0">
      <w:start w:val="1"/>
      <w:numFmt w:val="decimal"/>
      <w:pStyle w:val="2"/>
      <w:lvlText w:val="%1"/>
      <w:lvlJc w:val="left"/>
      <w:pPr>
        <w:ind w:left="425" w:hanging="425"/>
      </w:pPr>
      <w:rPr>
        <w:rFonts w:hint="eastAsia"/>
      </w:rPr>
    </w:lvl>
    <w:lvl w:ilvl="1" w:tentative="0">
      <w:start w:val="1"/>
      <w:numFmt w:val="decimal"/>
      <w:pStyle w:val="3"/>
      <w:lvlText w:val="%1.%2"/>
      <w:lvlJc w:val="left"/>
      <w:pPr>
        <w:ind w:left="567" w:hanging="567"/>
      </w:pPr>
      <w:rPr>
        <w:rFonts w:hint="eastAsia"/>
      </w:rPr>
    </w:lvl>
    <w:lvl w:ilvl="2" w:tentative="0">
      <w:start w:val="1"/>
      <w:numFmt w:val="decimal"/>
      <w:pStyle w:val="4"/>
      <w:lvlText w:val="%1.%2.%3"/>
      <w:lvlJc w:val="left"/>
      <w:pPr>
        <w:ind w:left="709" w:hanging="709"/>
      </w:pPr>
      <w:rPr>
        <w:rFonts w:hint="eastAsia"/>
      </w:rPr>
    </w:lvl>
    <w:lvl w:ilvl="3" w:tentative="0">
      <w:start w:val="1"/>
      <w:numFmt w:val="decimal"/>
      <w:pStyle w:val="5"/>
      <w:lvlText w:val="%1.%2.%3.%4"/>
      <w:lvlJc w:val="left"/>
      <w:pPr>
        <w:ind w:left="851" w:hanging="851"/>
      </w:pPr>
      <w:rPr>
        <w:rFonts w:hint="eastAsia"/>
      </w:rPr>
    </w:lvl>
    <w:lvl w:ilvl="4" w:tentative="0">
      <w:start w:val="1"/>
      <w:numFmt w:val="decimal"/>
      <w:pStyle w:val="6"/>
      <w:lvlText w:val="%1.%2.%3.%4.%5"/>
      <w:lvlJc w:val="left"/>
      <w:pPr>
        <w:ind w:left="992" w:hanging="992"/>
      </w:pPr>
      <w:rPr>
        <w:rFonts w:hint="eastAsia"/>
      </w:rPr>
    </w:lvl>
    <w:lvl w:ilvl="5" w:tentative="0">
      <w:start w:val="1"/>
      <w:numFmt w:val="decimal"/>
      <w:pStyle w:val="7"/>
      <w:lvlText w:val="%1.%2.%3.%4.%5.%6"/>
      <w:lvlJc w:val="left"/>
      <w:pPr>
        <w:ind w:left="1134" w:hanging="1134"/>
      </w:pPr>
      <w:rPr>
        <w:rFonts w:hint="eastAsia"/>
      </w:rPr>
    </w:lvl>
    <w:lvl w:ilvl="6" w:tentative="0">
      <w:start w:val="1"/>
      <w:numFmt w:val="decimal"/>
      <w:pStyle w:val="8"/>
      <w:lvlText w:val="%1.%2.%3.%4.%5.%6.%7"/>
      <w:lvlJc w:val="left"/>
      <w:pPr>
        <w:ind w:left="1276" w:hanging="1276"/>
      </w:pPr>
      <w:rPr>
        <w:rFonts w:hint="eastAsia"/>
      </w:rPr>
    </w:lvl>
    <w:lvl w:ilvl="7" w:tentative="0">
      <w:start w:val="1"/>
      <w:numFmt w:val="decimal"/>
      <w:pStyle w:val="9"/>
      <w:lvlText w:val="%1.%2.%3.%4.%5.%6.%7.%8"/>
      <w:lvlJc w:val="left"/>
      <w:pPr>
        <w:ind w:left="1418" w:hanging="1418"/>
      </w:pPr>
      <w:rPr>
        <w:rFonts w:hint="eastAsia"/>
      </w:rPr>
    </w:lvl>
    <w:lvl w:ilvl="8" w:tentative="0">
      <w:start w:val="1"/>
      <w:numFmt w:val="decimal"/>
      <w:pStyle w:val="10"/>
      <w:lvlText w:val="%1.%2.%3.%4.%5.%6.%7.%8.%9"/>
      <w:lvlJc w:val="left"/>
      <w:pPr>
        <w:ind w:left="1559" w:hanging="1559"/>
      </w:pPr>
      <w:rPr>
        <w:rFonts w:hint="eastAsia"/>
      </w:rPr>
    </w:lvl>
  </w:abstractNum>
  <w:abstractNum w:abstractNumId="8">
    <w:nsid w:val="3F002EE1"/>
    <w:multiLevelType w:val="multilevel"/>
    <w:tmpl w:val="3F002EE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41CA2C26"/>
    <w:multiLevelType w:val="singleLevel"/>
    <w:tmpl w:val="41CA2C26"/>
    <w:lvl w:ilvl="0" w:tentative="0">
      <w:start w:val="1"/>
      <w:numFmt w:val="bullet"/>
      <w:pStyle w:val="27"/>
      <w:lvlText w:val=""/>
      <w:lvlJc w:val="left"/>
      <w:pPr>
        <w:tabs>
          <w:tab w:val="left" w:pos="360"/>
        </w:tabs>
        <w:ind w:left="360" w:hanging="360"/>
      </w:pPr>
      <w:rPr>
        <w:rFonts w:hint="default" w:ascii="Webdings" w:hAnsi="Webdings"/>
      </w:rPr>
    </w:lvl>
  </w:abstractNum>
  <w:abstractNum w:abstractNumId="10">
    <w:nsid w:val="4DF87468"/>
    <w:multiLevelType w:val="multilevel"/>
    <w:tmpl w:val="4DF8746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4EAD79F9"/>
    <w:multiLevelType w:val="multilevel"/>
    <w:tmpl w:val="4EAD79F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549A69FD"/>
    <w:multiLevelType w:val="multilevel"/>
    <w:tmpl w:val="549A69FD"/>
    <w:lvl w:ilvl="0" w:tentative="0">
      <w:start w:val="5"/>
      <w:numFmt w:val="decimal"/>
      <w:pStyle w:val="28"/>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13">
    <w:nsid w:val="5E7F772F"/>
    <w:multiLevelType w:val="multilevel"/>
    <w:tmpl w:val="5E7F772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63690C9E"/>
    <w:multiLevelType w:val="singleLevel"/>
    <w:tmpl w:val="63690C9E"/>
    <w:lvl w:ilvl="0" w:tentative="0">
      <w:start w:val="1"/>
      <w:numFmt w:val="bullet"/>
      <w:pStyle w:val="26"/>
      <w:lvlText w:val=""/>
      <w:lvlJc w:val="left"/>
      <w:pPr>
        <w:tabs>
          <w:tab w:val="left" w:pos="360"/>
        </w:tabs>
        <w:ind w:left="360" w:hanging="360"/>
      </w:pPr>
      <w:rPr>
        <w:rFonts w:hint="default" w:ascii="Wingdings" w:hAnsi="Wingdings"/>
      </w:rPr>
    </w:lvl>
  </w:abstractNum>
  <w:num w:numId="1">
    <w:abstractNumId w:val="7"/>
  </w:num>
  <w:num w:numId="2">
    <w:abstractNumId w:val="14"/>
  </w:num>
  <w:num w:numId="3">
    <w:abstractNumId w:val="9"/>
  </w:num>
  <w:num w:numId="4">
    <w:abstractNumId w:val="12"/>
  </w:num>
  <w:num w:numId="5">
    <w:abstractNumId w:val="2"/>
  </w:num>
  <w:num w:numId="6">
    <w:abstractNumId w:val="1"/>
  </w:num>
  <w:num w:numId="7">
    <w:abstractNumId w:val="3"/>
  </w:num>
  <w:num w:numId="8">
    <w:abstractNumId w:val="8"/>
  </w:num>
  <w:num w:numId="9">
    <w:abstractNumId w:val="6"/>
  </w:num>
  <w:num w:numId="10">
    <w:abstractNumId w:val="0"/>
  </w:num>
  <w:num w:numId="11">
    <w:abstractNumId w:val="4"/>
  </w:num>
  <w:num w:numId="12">
    <w:abstractNumId w:val="10"/>
  </w:num>
  <w:num w:numId="13">
    <w:abstractNumId w:val="11"/>
  </w:num>
  <w:num w:numId="14">
    <w:abstractNumId w:val="13"/>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1"/>
  <w:bordersDoNotSurroundFooter w:val="1"/>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0ACA"/>
    <w:rsid w:val="00017FEB"/>
    <w:rsid w:val="00026559"/>
    <w:rsid w:val="00027534"/>
    <w:rsid w:val="00046A52"/>
    <w:rsid w:val="000A548C"/>
    <w:rsid w:val="000A5F9B"/>
    <w:rsid w:val="000E2BEB"/>
    <w:rsid w:val="00100947"/>
    <w:rsid w:val="001055F8"/>
    <w:rsid w:val="00130F91"/>
    <w:rsid w:val="00162D5A"/>
    <w:rsid w:val="001731ED"/>
    <w:rsid w:val="00187818"/>
    <w:rsid w:val="001B47C8"/>
    <w:rsid w:val="001B6A64"/>
    <w:rsid w:val="001C20E8"/>
    <w:rsid w:val="001D3C86"/>
    <w:rsid w:val="001D4CCE"/>
    <w:rsid w:val="00203AFE"/>
    <w:rsid w:val="002401C0"/>
    <w:rsid w:val="0024537E"/>
    <w:rsid w:val="00246AE4"/>
    <w:rsid w:val="00251824"/>
    <w:rsid w:val="0027753C"/>
    <w:rsid w:val="002904DA"/>
    <w:rsid w:val="002B21B5"/>
    <w:rsid w:val="002D0B7E"/>
    <w:rsid w:val="002F1B3D"/>
    <w:rsid w:val="00324023"/>
    <w:rsid w:val="003264B7"/>
    <w:rsid w:val="003312BB"/>
    <w:rsid w:val="00363FF8"/>
    <w:rsid w:val="00391338"/>
    <w:rsid w:val="003A4F2B"/>
    <w:rsid w:val="003D4E84"/>
    <w:rsid w:val="004521B4"/>
    <w:rsid w:val="004607C3"/>
    <w:rsid w:val="00487603"/>
    <w:rsid w:val="004903C2"/>
    <w:rsid w:val="004A7E15"/>
    <w:rsid w:val="004B0D86"/>
    <w:rsid w:val="004F3810"/>
    <w:rsid w:val="00546597"/>
    <w:rsid w:val="005926FA"/>
    <w:rsid w:val="005A5996"/>
    <w:rsid w:val="005D20F1"/>
    <w:rsid w:val="005E0E67"/>
    <w:rsid w:val="005F0073"/>
    <w:rsid w:val="006017DD"/>
    <w:rsid w:val="006035C5"/>
    <w:rsid w:val="006041B9"/>
    <w:rsid w:val="0065039A"/>
    <w:rsid w:val="00651E5D"/>
    <w:rsid w:val="00665C52"/>
    <w:rsid w:val="006704C1"/>
    <w:rsid w:val="00670B87"/>
    <w:rsid w:val="006841C0"/>
    <w:rsid w:val="00690330"/>
    <w:rsid w:val="00697204"/>
    <w:rsid w:val="006E74B6"/>
    <w:rsid w:val="006F5CA1"/>
    <w:rsid w:val="00725C0F"/>
    <w:rsid w:val="00737633"/>
    <w:rsid w:val="00752C01"/>
    <w:rsid w:val="00786298"/>
    <w:rsid w:val="007967DD"/>
    <w:rsid w:val="007B6155"/>
    <w:rsid w:val="007C4754"/>
    <w:rsid w:val="00806409"/>
    <w:rsid w:val="00842C2B"/>
    <w:rsid w:val="00886BFE"/>
    <w:rsid w:val="008A716E"/>
    <w:rsid w:val="008D08EE"/>
    <w:rsid w:val="008E31C2"/>
    <w:rsid w:val="008F1423"/>
    <w:rsid w:val="00910C20"/>
    <w:rsid w:val="00955CC6"/>
    <w:rsid w:val="00994A55"/>
    <w:rsid w:val="009951A9"/>
    <w:rsid w:val="009A6235"/>
    <w:rsid w:val="009B1046"/>
    <w:rsid w:val="009C27ED"/>
    <w:rsid w:val="009D062C"/>
    <w:rsid w:val="009D25C1"/>
    <w:rsid w:val="009F5451"/>
    <w:rsid w:val="00A0555A"/>
    <w:rsid w:val="00A136F9"/>
    <w:rsid w:val="00A23AC4"/>
    <w:rsid w:val="00A2589D"/>
    <w:rsid w:val="00A361F7"/>
    <w:rsid w:val="00A61D4E"/>
    <w:rsid w:val="00A72ADF"/>
    <w:rsid w:val="00A7446C"/>
    <w:rsid w:val="00A75B35"/>
    <w:rsid w:val="00A9321D"/>
    <w:rsid w:val="00AC3166"/>
    <w:rsid w:val="00AD13BE"/>
    <w:rsid w:val="00AF6ED7"/>
    <w:rsid w:val="00B15576"/>
    <w:rsid w:val="00B26DEB"/>
    <w:rsid w:val="00B70246"/>
    <w:rsid w:val="00BD2263"/>
    <w:rsid w:val="00BF043C"/>
    <w:rsid w:val="00BF5C74"/>
    <w:rsid w:val="00BF5C9D"/>
    <w:rsid w:val="00C170B1"/>
    <w:rsid w:val="00C32781"/>
    <w:rsid w:val="00C67C67"/>
    <w:rsid w:val="00C91E19"/>
    <w:rsid w:val="00CB2BDE"/>
    <w:rsid w:val="00CF03B6"/>
    <w:rsid w:val="00D11338"/>
    <w:rsid w:val="00D1238E"/>
    <w:rsid w:val="00D473E7"/>
    <w:rsid w:val="00D6472A"/>
    <w:rsid w:val="00D67C03"/>
    <w:rsid w:val="00D72C3B"/>
    <w:rsid w:val="00D836DE"/>
    <w:rsid w:val="00DF5800"/>
    <w:rsid w:val="00E01A01"/>
    <w:rsid w:val="00E133C3"/>
    <w:rsid w:val="00E331AF"/>
    <w:rsid w:val="00E42731"/>
    <w:rsid w:val="00E44A17"/>
    <w:rsid w:val="00E831DF"/>
    <w:rsid w:val="00E927CC"/>
    <w:rsid w:val="00EA0F6D"/>
    <w:rsid w:val="00EC2927"/>
    <w:rsid w:val="00ED5664"/>
    <w:rsid w:val="00ED61F5"/>
    <w:rsid w:val="00F143FF"/>
    <w:rsid w:val="00F17F2A"/>
    <w:rsid w:val="00F20615"/>
    <w:rsid w:val="00F2238C"/>
    <w:rsid w:val="00F3139D"/>
    <w:rsid w:val="00F34239"/>
    <w:rsid w:val="00F44C05"/>
    <w:rsid w:val="00F45EED"/>
    <w:rsid w:val="00F51F19"/>
    <w:rsid w:val="00F56022"/>
    <w:rsid w:val="00F6288A"/>
    <w:rsid w:val="00F62AF3"/>
    <w:rsid w:val="00F6413C"/>
    <w:rsid w:val="00F94331"/>
    <w:rsid w:val="00FD6B32"/>
    <w:rsid w:val="01573D3E"/>
    <w:rsid w:val="0AAA3F3F"/>
    <w:rsid w:val="0B9D7290"/>
    <w:rsid w:val="0D70556D"/>
    <w:rsid w:val="1EAC434D"/>
    <w:rsid w:val="1F467C6F"/>
    <w:rsid w:val="26F1142E"/>
    <w:rsid w:val="2AB278DE"/>
    <w:rsid w:val="2BAD4BF1"/>
    <w:rsid w:val="2FFE4C0B"/>
    <w:rsid w:val="314C77A0"/>
    <w:rsid w:val="3CC415A3"/>
    <w:rsid w:val="3F297ADD"/>
    <w:rsid w:val="44402940"/>
    <w:rsid w:val="47A6462F"/>
    <w:rsid w:val="529D4C66"/>
    <w:rsid w:val="57D61E46"/>
    <w:rsid w:val="594A0F0E"/>
    <w:rsid w:val="597B6BDE"/>
    <w:rsid w:val="639C03E7"/>
    <w:rsid w:val="661D78B7"/>
    <w:rsid w:val="6B02289C"/>
    <w:rsid w:val="6F2472AC"/>
    <w:rsid w:val="720536D4"/>
    <w:rsid w:val="779C50F7"/>
    <w:rsid w:val="7EE711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jc w:val="both"/>
    </w:pPr>
    <w:rPr>
      <w:rFonts w:ascii="Times New Roman" w:hAnsi="Times New Roman" w:eastAsia="宋体" w:cs="Times New Roman"/>
      <w:lang w:val="en-GB" w:eastAsia="en-US" w:bidi="ar-SA"/>
    </w:rPr>
  </w:style>
  <w:style w:type="paragraph" w:styleId="2">
    <w:name w:val="heading 1"/>
    <w:basedOn w:val="1"/>
    <w:next w:val="1"/>
    <w:qFormat/>
    <w:uiPriority w:val="0"/>
    <w:pPr>
      <w:keepNext/>
      <w:numPr>
        <w:ilvl w:val="0"/>
        <w:numId w:val="1"/>
      </w:numPr>
      <w:pBdr>
        <w:top w:val="single" w:color="auto" w:sz="12" w:space="1"/>
      </w:pBdr>
      <w:spacing w:before="240"/>
      <w:outlineLvl w:val="0"/>
    </w:pPr>
    <w:rPr>
      <w:rFonts w:ascii="Arial" w:hAnsi="Arial"/>
      <w:sz w:val="28"/>
    </w:rPr>
  </w:style>
  <w:style w:type="paragraph" w:styleId="3">
    <w:name w:val="heading 2"/>
    <w:basedOn w:val="1"/>
    <w:next w:val="1"/>
    <w:qFormat/>
    <w:uiPriority w:val="0"/>
    <w:pPr>
      <w:keepNext/>
      <w:numPr>
        <w:ilvl w:val="1"/>
        <w:numId w:val="1"/>
      </w:numPr>
      <w:spacing w:before="180"/>
      <w:outlineLvl w:val="1"/>
    </w:pPr>
    <w:rPr>
      <w:rFonts w:ascii="Arial" w:hAnsi="Arial"/>
      <w:sz w:val="24"/>
    </w:rPr>
  </w:style>
  <w:style w:type="paragraph" w:styleId="4">
    <w:name w:val="heading 3"/>
    <w:basedOn w:val="1"/>
    <w:next w:val="1"/>
    <w:qFormat/>
    <w:uiPriority w:val="0"/>
    <w:pPr>
      <w:keepNext/>
      <w:numPr>
        <w:ilvl w:val="2"/>
        <w:numId w:val="1"/>
      </w:numPr>
      <w:spacing w:before="120"/>
      <w:outlineLvl w:val="2"/>
    </w:pPr>
    <w:rPr>
      <w:rFonts w:ascii="Arial" w:hAnsi="Arial"/>
    </w:rPr>
  </w:style>
  <w:style w:type="paragraph" w:styleId="5">
    <w:name w:val="heading 4"/>
    <w:basedOn w:val="1"/>
    <w:next w:val="1"/>
    <w:qFormat/>
    <w:uiPriority w:val="0"/>
    <w:pPr>
      <w:keepNext/>
      <w:numPr>
        <w:ilvl w:val="3"/>
        <w:numId w:val="1"/>
      </w:numPr>
      <w:spacing w:before="120"/>
      <w:outlineLvl w:val="3"/>
    </w:pPr>
    <w:rPr>
      <w:rFonts w:ascii="Arial" w:hAnsi="Arial"/>
    </w:rPr>
  </w:style>
  <w:style w:type="paragraph" w:styleId="6">
    <w:name w:val="heading 5"/>
    <w:basedOn w:val="1"/>
    <w:next w:val="1"/>
    <w:qFormat/>
    <w:uiPriority w:val="0"/>
    <w:pPr>
      <w:keepNext/>
      <w:numPr>
        <w:ilvl w:val="4"/>
        <w:numId w:val="1"/>
      </w:numPr>
      <w:spacing w:before="120"/>
      <w:outlineLvl w:val="4"/>
    </w:pPr>
    <w:rPr>
      <w:rFonts w:ascii="Arial" w:hAnsi="Arial"/>
    </w:rPr>
  </w:style>
  <w:style w:type="paragraph" w:styleId="7">
    <w:name w:val="heading 6"/>
    <w:basedOn w:val="1"/>
    <w:next w:val="1"/>
    <w:qFormat/>
    <w:uiPriority w:val="0"/>
    <w:pPr>
      <w:keepNext/>
      <w:numPr>
        <w:ilvl w:val="5"/>
        <w:numId w:val="1"/>
      </w:numPr>
      <w:spacing w:before="120"/>
      <w:outlineLvl w:val="5"/>
    </w:pPr>
    <w:rPr>
      <w:rFonts w:ascii="Arial" w:hAnsi="Arial"/>
    </w:rPr>
  </w:style>
  <w:style w:type="paragraph" w:styleId="8">
    <w:name w:val="heading 7"/>
    <w:basedOn w:val="1"/>
    <w:next w:val="1"/>
    <w:qFormat/>
    <w:uiPriority w:val="0"/>
    <w:pPr>
      <w:keepNext/>
      <w:numPr>
        <w:ilvl w:val="6"/>
        <w:numId w:val="1"/>
      </w:numPr>
      <w:spacing w:before="120"/>
      <w:outlineLvl w:val="6"/>
    </w:pPr>
    <w:rPr>
      <w:rFonts w:ascii="Arial" w:hAnsi="Arial"/>
    </w:rPr>
  </w:style>
  <w:style w:type="paragraph" w:styleId="9">
    <w:name w:val="heading 8"/>
    <w:basedOn w:val="1"/>
    <w:next w:val="1"/>
    <w:qFormat/>
    <w:uiPriority w:val="0"/>
    <w:pPr>
      <w:keepNext/>
      <w:numPr>
        <w:ilvl w:val="7"/>
        <w:numId w:val="1"/>
      </w:numPr>
      <w:spacing w:before="120"/>
      <w:outlineLvl w:val="7"/>
    </w:pPr>
    <w:rPr>
      <w:rFonts w:ascii="Arial" w:hAnsi="Arial"/>
    </w:rPr>
  </w:style>
  <w:style w:type="paragraph" w:styleId="10">
    <w:name w:val="heading 9"/>
    <w:basedOn w:val="1"/>
    <w:next w:val="1"/>
    <w:qFormat/>
    <w:uiPriority w:val="0"/>
    <w:pPr>
      <w:keepNext/>
      <w:numPr>
        <w:ilvl w:val="8"/>
        <w:numId w:val="1"/>
      </w:numPr>
      <w:spacing w:before="180"/>
      <w:outlineLvl w:val="8"/>
    </w:pPr>
    <w:rPr>
      <w:rFonts w:ascii="Arial" w:hAnsi="Arial"/>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41"/>
    <w:semiHidden/>
    <w:qFormat/>
    <w:uiPriority w:val="0"/>
    <w:pPr>
      <w:tabs>
        <w:tab w:val="left" w:pos="1418"/>
        <w:tab w:val="left" w:pos="4678"/>
        <w:tab w:val="left" w:pos="5954"/>
        <w:tab w:val="left" w:pos="7088"/>
      </w:tabs>
      <w:spacing w:after="240"/>
    </w:pPr>
    <w:rPr>
      <w:rFonts w:ascii="Arial" w:hAnsi="Arial"/>
    </w:rPr>
  </w:style>
  <w:style w:type="paragraph" w:styleId="12">
    <w:name w:val="Body Text"/>
    <w:basedOn w:val="1"/>
    <w:semiHidden/>
    <w:qFormat/>
    <w:uiPriority w:val="0"/>
    <w:rPr>
      <w:rFonts w:ascii="Arial" w:hAnsi="Arial" w:cs="Arial"/>
      <w:color w:val="FF0000"/>
    </w:rPr>
  </w:style>
  <w:style w:type="paragraph" w:styleId="13">
    <w:name w:val="List 2"/>
    <w:basedOn w:val="14"/>
    <w:qFormat/>
    <w:uiPriority w:val="0"/>
    <w:pPr>
      <w:ind w:left="851"/>
    </w:pPr>
  </w:style>
  <w:style w:type="paragraph" w:styleId="14">
    <w:name w:val="List"/>
    <w:basedOn w:val="1"/>
    <w:qFormat/>
    <w:uiPriority w:val="0"/>
    <w:pPr>
      <w:spacing w:after="180"/>
      <w:ind w:left="568" w:hanging="284"/>
    </w:pPr>
    <w:rPr>
      <w:rFonts w:ascii="Times New Roman" w:hAnsi="Times New Roman" w:eastAsia="MS Gothic" w:cs="Times New Roman"/>
      <w:szCs w:val="20"/>
      <w:lang w:val="en-GB" w:eastAsia="ja-JP"/>
    </w:rPr>
  </w:style>
  <w:style w:type="paragraph" w:styleId="15">
    <w:name w:val="Balloon Text"/>
    <w:basedOn w:val="1"/>
    <w:link w:val="30"/>
    <w:semiHidden/>
    <w:unhideWhenUsed/>
    <w:qFormat/>
    <w:uiPriority w:val="99"/>
    <w:rPr>
      <w:rFonts w:ascii="Segoe UI" w:hAnsi="Segoe UI" w:cs="Segoe UI"/>
      <w:sz w:val="18"/>
      <w:szCs w:val="18"/>
    </w:rPr>
  </w:style>
  <w:style w:type="paragraph" w:styleId="16">
    <w:name w:val="footer"/>
    <w:basedOn w:val="1"/>
    <w:semiHidden/>
    <w:qFormat/>
    <w:uiPriority w:val="0"/>
    <w:pPr>
      <w:tabs>
        <w:tab w:val="center" w:pos="4153"/>
        <w:tab w:val="right" w:pos="8306"/>
      </w:tabs>
    </w:pPr>
  </w:style>
  <w:style w:type="paragraph" w:styleId="17">
    <w:name w:val="header"/>
    <w:basedOn w:val="1"/>
    <w:semiHidden/>
    <w:qFormat/>
    <w:uiPriority w:val="0"/>
    <w:pPr>
      <w:tabs>
        <w:tab w:val="center" w:pos="4153"/>
        <w:tab w:val="right" w:pos="8306"/>
      </w:tabs>
    </w:pPr>
  </w:style>
  <w:style w:type="paragraph" w:styleId="18">
    <w:name w:val="annotation subject"/>
    <w:basedOn w:val="11"/>
    <w:next w:val="11"/>
    <w:link w:val="42"/>
    <w:semiHidden/>
    <w:unhideWhenUsed/>
    <w:qFormat/>
    <w:uiPriority w:val="99"/>
    <w:pPr>
      <w:tabs>
        <w:tab w:val="clear" w:pos="1418"/>
        <w:tab w:val="clear" w:pos="4678"/>
        <w:tab w:val="clear" w:pos="5954"/>
        <w:tab w:val="clear" w:pos="7088"/>
      </w:tabs>
      <w:spacing w:after="120"/>
      <w:jc w:val="left"/>
    </w:pPr>
    <w:rPr>
      <w:rFonts w:ascii="Times New Roman" w:hAnsi="Times New Roman"/>
      <w:b/>
      <w:bCs/>
    </w:rPr>
  </w:style>
  <w:style w:type="table" w:styleId="20">
    <w:name w:val="Table Grid"/>
    <w:basedOn w:val="1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qFormat/>
    <w:uiPriority w:val="22"/>
    <w:rPr>
      <w:b/>
      <w:bCs/>
    </w:rPr>
  </w:style>
  <w:style w:type="character" w:styleId="23">
    <w:name w:val="page number"/>
    <w:basedOn w:val="21"/>
    <w:semiHidden/>
    <w:qFormat/>
    <w:uiPriority w:val="0"/>
  </w:style>
  <w:style w:type="character" w:styleId="24">
    <w:name w:val="Hyperlink"/>
    <w:qFormat/>
    <w:uiPriority w:val="99"/>
    <w:rPr>
      <w:color w:val="0000FF"/>
      <w:u w:val="single"/>
    </w:rPr>
  </w:style>
  <w:style w:type="character" w:styleId="25">
    <w:name w:val="annotation reference"/>
    <w:semiHidden/>
    <w:qFormat/>
    <w:uiPriority w:val="0"/>
    <w:rPr>
      <w:sz w:val="16"/>
    </w:rPr>
  </w:style>
  <w:style w:type="paragraph" w:customStyle="1" w:styleId="26">
    <w:name w:val="DECISION"/>
    <w:basedOn w:val="1"/>
    <w:qFormat/>
    <w:uiPriority w:val="0"/>
    <w:pPr>
      <w:widowControl w:val="0"/>
      <w:numPr>
        <w:ilvl w:val="0"/>
        <w:numId w:val="2"/>
      </w:numPr>
      <w:spacing w:before="120"/>
    </w:pPr>
    <w:rPr>
      <w:rFonts w:ascii="Arial" w:hAnsi="Arial"/>
      <w:b/>
      <w:color w:val="0000FF"/>
      <w:u w:val="single"/>
    </w:rPr>
  </w:style>
  <w:style w:type="paragraph" w:customStyle="1" w:styleId="27">
    <w:name w:val="ACTION"/>
    <w:basedOn w:val="1"/>
    <w:qFormat/>
    <w:uiPriority w:val="0"/>
    <w:pPr>
      <w:keepNext/>
      <w:keepLines/>
      <w:widowControl w:val="0"/>
      <w:numPr>
        <w:ilvl w:val="0"/>
        <w:numId w:val="3"/>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pPr>
    <w:rPr>
      <w:rFonts w:ascii="Arial" w:hAnsi="Arial"/>
      <w:b/>
      <w:color w:val="FF0000"/>
    </w:rPr>
  </w:style>
  <w:style w:type="paragraph" w:customStyle="1" w:styleId="28">
    <w:name w:val="done"/>
    <w:basedOn w:val="27"/>
    <w:qFormat/>
    <w:uiPriority w:val="0"/>
    <w:pPr>
      <w:numPr>
        <w:numId w:val="4"/>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29">
    <w:name w:val="Not Done"/>
    <w:basedOn w:val="28"/>
    <w:qFormat/>
    <w:uiPriority w:val="0"/>
    <w:pPr>
      <w:numPr>
        <w:numId w:val="5"/>
      </w:numPr>
      <w:tabs>
        <w:tab w:val="left" w:pos="0"/>
      </w:tabs>
    </w:pPr>
    <w:rPr>
      <w:color w:val="FF0000"/>
    </w:rPr>
  </w:style>
  <w:style w:type="character" w:customStyle="1" w:styleId="30">
    <w:name w:val="批注框文本 字符"/>
    <w:link w:val="15"/>
    <w:semiHidden/>
    <w:qFormat/>
    <w:uiPriority w:val="99"/>
    <w:rPr>
      <w:rFonts w:ascii="Segoe UI" w:hAnsi="Segoe UI" w:cs="Segoe UI"/>
      <w:sz w:val="18"/>
      <w:szCs w:val="18"/>
      <w:lang w:eastAsia="en-US"/>
    </w:rPr>
  </w:style>
  <w:style w:type="paragraph" w:styleId="31">
    <w:name w:val="List Paragraph"/>
    <w:basedOn w:val="1"/>
    <w:qFormat/>
    <w:uiPriority w:val="34"/>
    <w:pPr>
      <w:ind w:left="720"/>
    </w:pPr>
  </w:style>
  <w:style w:type="character" w:customStyle="1" w:styleId="32">
    <w:name w:val="不明显参考1"/>
    <w:qFormat/>
    <w:uiPriority w:val="31"/>
    <w:rPr>
      <w:smallCaps/>
      <w:color w:val="5A5A5A"/>
    </w:rPr>
  </w:style>
  <w:style w:type="paragraph" w:customStyle="1" w:styleId="33">
    <w:name w:val="References"/>
    <w:basedOn w:val="1"/>
    <w:link w:val="34"/>
    <w:qFormat/>
    <w:uiPriority w:val="0"/>
    <w:pPr>
      <w:numPr>
        <w:ilvl w:val="0"/>
        <w:numId w:val="6"/>
      </w:numPr>
      <w:spacing w:after="60"/>
      <w:ind w:left="357" w:hanging="357"/>
    </w:pPr>
  </w:style>
  <w:style w:type="character" w:customStyle="1" w:styleId="34">
    <w:name w:val="References 字符"/>
    <w:link w:val="33"/>
    <w:qFormat/>
    <w:uiPriority w:val="0"/>
    <w:rPr>
      <w:lang w:val="en-GB" w:eastAsia="en-US"/>
    </w:rPr>
  </w:style>
  <w:style w:type="paragraph" w:styleId="35">
    <w:name w:val="Quote"/>
    <w:basedOn w:val="1"/>
    <w:next w:val="1"/>
    <w:link w:val="36"/>
    <w:qFormat/>
    <w:uiPriority w:val="29"/>
    <w:pPr>
      <w:spacing w:before="200" w:after="160"/>
      <w:ind w:left="864" w:right="864"/>
      <w:jc w:val="center"/>
    </w:pPr>
    <w:rPr>
      <w:i/>
      <w:iCs/>
      <w:color w:val="404040"/>
    </w:rPr>
  </w:style>
  <w:style w:type="character" w:customStyle="1" w:styleId="36">
    <w:name w:val="引用 字符"/>
    <w:link w:val="35"/>
    <w:qFormat/>
    <w:uiPriority w:val="29"/>
    <w:rPr>
      <w:i/>
      <w:iCs/>
      <w:color w:val="404040"/>
      <w:lang w:val="en-GB" w:eastAsia="en-US"/>
    </w:rPr>
  </w:style>
  <w:style w:type="character" w:customStyle="1" w:styleId="37">
    <w:name w:val="书籍标题1"/>
    <w:qFormat/>
    <w:uiPriority w:val="33"/>
    <w:rPr>
      <w:b/>
      <w:bCs/>
      <w:i/>
      <w:iCs/>
      <w:spacing w:val="5"/>
    </w:rPr>
  </w:style>
  <w:style w:type="paragraph" w:styleId="38">
    <w:name w:val="No Spacing"/>
    <w:qFormat/>
    <w:uiPriority w:val="1"/>
    <w:rPr>
      <w:rFonts w:ascii="Times New Roman" w:hAnsi="Times New Roman" w:eastAsia="Times New Roman" w:cs="Times New Roman"/>
      <w:lang w:val="en-GB" w:eastAsia="en-US" w:bidi="ar-SA"/>
    </w:rPr>
  </w:style>
  <w:style w:type="paragraph" w:customStyle="1" w:styleId="39">
    <w:name w:val="TAL"/>
    <w:basedOn w:val="1"/>
    <w:qFormat/>
    <w:uiPriority w:val="0"/>
    <w:pPr>
      <w:keepNext/>
      <w:keepLines/>
      <w:widowControl w:val="0"/>
      <w:spacing w:after="0"/>
      <w:jc w:val="left"/>
    </w:pPr>
    <w:rPr>
      <w:rFonts w:ascii="Arial" w:hAnsi="Arial"/>
      <w:sz w:val="18"/>
      <w:szCs w:val="18"/>
      <w:lang w:val="en-US" w:eastAsia="zh-CN"/>
    </w:rPr>
  </w:style>
  <w:style w:type="paragraph" w:customStyle="1" w:styleId="40">
    <w:name w:val="列表段落1"/>
    <w:basedOn w:val="1"/>
    <w:qFormat/>
    <w:uiPriority w:val="0"/>
    <w:pPr>
      <w:spacing w:before="100" w:beforeAutospacing="1" w:after="100" w:afterAutospacing="1"/>
      <w:ind w:left="840" w:leftChars="400"/>
      <w:jc w:val="left"/>
    </w:pPr>
    <w:rPr>
      <w:rFonts w:eastAsia="MS Gothic"/>
      <w:sz w:val="24"/>
      <w:szCs w:val="24"/>
      <w:lang w:val="en-US" w:eastAsia="zh-CN"/>
    </w:rPr>
  </w:style>
  <w:style w:type="character" w:customStyle="1" w:styleId="41">
    <w:name w:val="批注文字 字符"/>
    <w:basedOn w:val="21"/>
    <w:link w:val="11"/>
    <w:semiHidden/>
    <w:qFormat/>
    <w:uiPriority w:val="0"/>
    <w:rPr>
      <w:rFonts w:ascii="Arial" w:hAnsi="Arial" w:eastAsia="宋体"/>
      <w:lang w:val="en-GB" w:eastAsia="en-US"/>
    </w:rPr>
  </w:style>
  <w:style w:type="character" w:customStyle="1" w:styleId="42">
    <w:name w:val="批注主题 字符"/>
    <w:basedOn w:val="41"/>
    <w:link w:val="18"/>
    <w:semiHidden/>
    <w:qFormat/>
    <w:uiPriority w:val="99"/>
    <w:rPr>
      <w:rFonts w:ascii="Arial" w:hAnsi="Arial" w:eastAsia="宋体"/>
      <w:b/>
      <w:bCs/>
      <w:lang w:val="en-GB" w:eastAsia="en-US"/>
    </w:rPr>
  </w:style>
  <w:style w:type="paragraph" w:customStyle="1" w:styleId="43">
    <w:name w:val="TAH"/>
    <w:basedOn w:val="1"/>
    <w:qFormat/>
    <w:uiPriority w:val="0"/>
    <w:pPr>
      <w:keepNext/>
      <w:keepLines/>
      <w:widowControl w:val="0"/>
      <w:overflowPunct w:val="0"/>
      <w:autoSpaceDE w:val="0"/>
      <w:autoSpaceDN w:val="0"/>
      <w:adjustRightInd w:val="0"/>
      <w:spacing w:before="100" w:beforeAutospacing="1" w:after="0"/>
      <w:jc w:val="center"/>
      <w:textAlignment w:val="baseline"/>
    </w:pPr>
    <w:rPr>
      <w:rFonts w:ascii="Arial" w:hAnsi="Arial" w:eastAsia="Times New Roman"/>
      <w:b/>
      <w:sz w:val="18"/>
      <w:szCs w:val="18"/>
      <w:lang w:val="en-US" w:eastAsia="zh-CN"/>
    </w:rPr>
  </w:style>
  <w:style w:type="paragraph" w:customStyle="1" w:styleId="44">
    <w:name w:val="TAN"/>
    <w:basedOn w:val="1"/>
    <w:qFormat/>
    <w:uiPriority w:val="0"/>
    <w:pPr>
      <w:keepNext/>
      <w:keepLines/>
      <w:widowControl w:val="0"/>
      <w:spacing w:before="100" w:beforeAutospacing="1" w:after="100" w:afterAutospacing="1"/>
      <w:ind w:left="851" w:hanging="851"/>
      <w:jc w:val="left"/>
    </w:pPr>
    <w:rPr>
      <w:rFonts w:ascii="Arial" w:hAnsi="Arial"/>
      <w:sz w:val="18"/>
      <w:szCs w:val="18"/>
      <w:lang w:val="en-US" w:eastAsia="zh-CN"/>
    </w:rPr>
  </w:style>
  <w:style w:type="paragraph" w:customStyle="1" w:styleId="45">
    <w:name w:val="B2"/>
    <w:basedOn w:val="13"/>
    <w:qFormat/>
    <w:uiPriority w:val="0"/>
    <w:pPr>
      <w:overflowPunct w:val="0"/>
      <w:autoSpaceDE w:val="0"/>
      <w:autoSpaceDN w:val="0"/>
      <w:adjustRightInd w:val="0"/>
      <w:textAlignment w:val="baseline"/>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C0AE69-F9AF-4973-A90C-F7E2989E6AE0}">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1324</Words>
  <Characters>7551</Characters>
  <Lines>62</Lines>
  <Paragraphs>17</Paragraphs>
  <TotalTime>3</TotalTime>
  <ScaleCrop>false</ScaleCrop>
  <LinksUpToDate>false</LinksUpToDate>
  <CharactersWithSpaces>8858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2022-10-06T13:14:00Z</dcterms:created>
  <dc:creator>ZTE Corporation</dc:creator>
  <cp:lastModifiedBy>ZTE - Jing Shi</cp:lastModifiedBy>
  <cp:lastPrinted>2002-04-23T01:10:00Z</cp:lastPrinted>
  <dcterms:modified xsi:type="dcterms:W3CDTF">2025-09-30T08:04:17Z</dcterms:modified>
  <cp:revision>94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FA302CDCF2604BA2B8DC01C77BC10D07</vt:lpwstr>
  </property>
</Properties>
</file>